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sz w:val="48"/>
          <w:szCs w:val="48"/>
        </w:rPr>
        <w:t>201</w:t>
      </w: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48"/>
          <w:szCs w:val="48"/>
        </w:rPr>
        <w:t>年度部门决算分析报告</w:t>
      </w:r>
    </w:p>
    <w:p>
      <w:pPr>
        <w:spacing w:beforeLines="0" w:afterLines="0"/>
        <w:ind w:firstLine="64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一、单位基本情况</w:t>
      </w:r>
    </w:p>
    <w:p>
      <w:pPr>
        <w:spacing w:beforeLines="0" w:afterLines="0" w:line="520" w:lineRule="exact"/>
        <w:ind w:firstLine="640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湘南幼儿师范高等专科学校(原郴州师范学校)是2014年经湖南省人民政府批准、国家教育部备案的全日制公办普通高等学校；是财政补助全额拨款的事业单位，主要职能是培养全日制大专学生；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2018年</w:t>
      </w:r>
      <w:r>
        <w:rPr>
          <w:rFonts w:hint="eastAsia" w:ascii="楷体" w:hAnsi="楷体" w:eastAsia="楷体" w:cs="楷体"/>
          <w:kern w:val="0"/>
          <w:sz w:val="28"/>
          <w:szCs w:val="28"/>
        </w:rPr>
        <w:t>全校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年末</w:t>
      </w:r>
      <w:r>
        <w:rPr>
          <w:rFonts w:hint="eastAsia" w:ascii="楷体" w:hAnsi="楷体" w:eastAsia="楷体" w:cs="楷体"/>
          <w:kern w:val="0"/>
          <w:sz w:val="28"/>
          <w:szCs w:val="28"/>
        </w:rPr>
        <w:t>现有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在职编制人数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229人，外聘教职工106</w:t>
      </w:r>
      <w:r>
        <w:rPr>
          <w:rFonts w:hint="eastAsia" w:ascii="楷体" w:hAnsi="楷体" w:eastAsia="楷体" w:cs="楷体"/>
          <w:kern w:val="0"/>
          <w:sz w:val="28"/>
          <w:szCs w:val="28"/>
        </w:rPr>
        <w:t>人，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共计教职工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335人，</w:t>
      </w:r>
      <w:r>
        <w:rPr>
          <w:rFonts w:hint="eastAsia" w:ascii="楷体" w:hAnsi="楷体" w:eastAsia="楷体" w:cs="楷体"/>
          <w:kern w:val="0"/>
          <w:sz w:val="28"/>
          <w:szCs w:val="28"/>
        </w:rPr>
        <w:t>学生</w:t>
      </w: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达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6955</w:t>
      </w:r>
      <w:r>
        <w:rPr>
          <w:rFonts w:hint="eastAsia" w:ascii="楷体" w:hAnsi="楷体" w:eastAsia="楷体" w:cs="楷体"/>
          <w:kern w:val="0"/>
          <w:sz w:val="28"/>
          <w:szCs w:val="28"/>
        </w:rPr>
        <w:t>人。</w:t>
      </w:r>
    </w:p>
    <w:p>
      <w:pPr>
        <w:spacing w:beforeLines="0" w:afterLines="0" w:line="520" w:lineRule="exact"/>
        <w:ind w:firstLine="640"/>
        <w:rPr>
          <w:rFonts w:hint="eastAsia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  <w:lang w:val="en-US"/>
        </w:rPr>
        <w:t>学校有党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群机构6</w:t>
      </w:r>
      <w:r>
        <w:rPr>
          <w:rFonts w:hint="eastAsia" w:ascii="楷体" w:hAnsi="楷体" w:eastAsia="楷体" w:cs="楷体"/>
          <w:sz w:val="28"/>
          <w:szCs w:val="28"/>
          <w:lang w:val="en-US"/>
        </w:rPr>
        <w:t>个：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党政</w:t>
      </w:r>
      <w:r>
        <w:rPr>
          <w:rFonts w:hint="eastAsia" w:ascii="楷体" w:hAnsi="楷体" w:eastAsia="楷体" w:cs="楷体"/>
          <w:sz w:val="28"/>
          <w:szCs w:val="28"/>
          <w:lang w:val="en-US"/>
        </w:rPr>
        <w:t>办公室、组织宣传人事处、教纪检监察室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、工会、团委、妇委会；行政机构8个：教务处、科研</w:t>
      </w:r>
      <w:r>
        <w:rPr>
          <w:rFonts w:hint="eastAsia" w:ascii="楷体" w:hAnsi="楷体" w:eastAsia="楷体" w:cs="楷体"/>
          <w:sz w:val="28"/>
          <w:szCs w:val="28"/>
          <w:lang w:val="en-US"/>
        </w:rPr>
        <w:t>处、计划财务处、招生就业指导处、学生工作处、后勤管理处、保卫处、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督导室；系部6</w:t>
      </w:r>
      <w:r>
        <w:rPr>
          <w:rFonts w:hint="eastAsia" w:ascii="楷体" w:hAnsi="楷体" w:eastAsia="楷体" w:cs="楷体"/>
          <w:sz w:val="28"/>
          <w:szCs w:val="28"/>
          <w:lang w:val="en-US"/>
        </w:rPr>
        <w:t>个：学前教育系、初等教育系、艺术系、教育技术系、继续教育部、基础课教学部。</w:t>
      </w:r>
    </w:p>
    <w:p>
      <w:pPr>
        <w:spacing w:beforeLines="0" w:afterLines="0" w:line="520" w:lineRule="exact"/>
        <w:ind w:firstLine="640"/>
        <w:rPr>
          <w:rFonts w:hint="eastAsia" w:ascii="楷体" w:hAnsi="楷体" w:eastAsia="楷体" w:cs="楷体"/>
          <w:kern w:val="2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  <w:lang w:val="en-US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  <w:lang w:val="en-US"/>
        </w:rPr>
        <w:t>年未单位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实有在职</w:t>
      </w:r>
      <w:r>
        <w:rPr>
          <w:rFonts w:hint="eastAsia" w:ascii="楷体" w:hAnsi="楷体" w:eastAsia="楷体" w:cs="楷体"/>
          <w:sz w:val="28"/>
          <w:szCs w:val="28"/>
          <w:lang w:val="en-US"/>
        </w:rPr>
        <w:t>编制人数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229</w:t>
      </w:r>
      <w:r>
        <w:rPr>
          <w:rFonts w:hint="eastAsia" w:ascii="楷体" w:hAnsi="楷体" w:eastAsia="楷体" w:cs="楷体"/>
          <w:sz w:val="28"/>
          <w:szCs w:val="28"/>
          <w:lang w:val="en-US"/>
        </w:rPr>
        <w:t>人，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2016年末单位实有在职编制人数223人。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楷体" w:hAnsi="楷体" w:eastAsia="楷体" w:cs="楷体"/>
          <w:kern w:val="2"/>
          <w:sz w:val="28"/>
          <w:szCs w:val="28"/>
          <w:lang w:val="en-US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/>
        </w:rPr>
        <w:t>　　学校以培养培训小学、幼儿园教师为主，同时培养社会急需的各类大中专专业技术人才。学校是教育部确认的全国幼儿教师“国培计划”项目实施单位，是湖南省教育厅认定的大专层次小学及幼儿园教师培养基地，是郴州市小学校长、幼儿园园长及骨干教师培训中心。近年来，学校先后被评为“全国师范教育名校”、“全国德育工作先进单位”、“全国科研兴校先进单位”、“湖南省大中专毕业生推荐就业先进单位”、“湖南省中小学教师继续教育工作先进单位”、“湖南省五四红旗团委”、“湖南省语言文字工作特色学校”、 “湖南省经典诵读特色学校”“湖南省‘国培计划’项目实施工作先进单位”等。</w:t>
      </w:r>
    </w:p>
    <w:p>
      <w:pPr>
        <w:spacing w:beforeLines="0" w:afterLines="0" w:line="520" w:lineRule="exact"/>
        <w:ind w:firstLine="643"/>
        <w:rPr>
          <w:rFonts w:hint="eastAsia" w:ascii="楷体" w:hAnsi="楷体" w:eastAsia="楷体" w:cs="楷体"/>
          <w:kern w:val="2"/>
          <w:sz w:val="28"/>
          <w:szCs w:val="28"/>
          <w:lang w:val="en-US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/>
        </w:rPr>
        <w:t>学校秉持“崇智尚美、立德树人”的办学宗旨和“质量立校、特色兴校、科研强校”的办学理念，坚持“做大做强教师教育类专业，做精做优艺术技术类专业，突出幼儿师范特色”的办学定位，努力打造“有特色、高质量、高水平”的“湘南龙头、省内一流、全国知名”的幼儿师范高等专科学校品牌。</w:t>
      </w:r>
    </w:p>
    <w:p>
      <w:pPr>
        <w:spacing w:beforeLines="0" w:afterLines="0" w:line="520" w:lineRule="exact"/>
        <w:ind w:firstLine="643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二、</w:t>
      </w:r>
      <w:r>
        <w:rPr>
          <w:rFonts w:hint="eastAsia" w:ascii="楷体" w:hAnsi="楷体" w:eastAsia="楷体" w:cs="楷体"/>
          <w:b/>
          <w:sz w:val="28"/>
          <w:szCs w:val="28"/>
        </w:rPr>
        <w:t>收入支出预算安排情况。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本部门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年初预算收入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6525.08万元，比2017年预算增加了2306.28万元，增长54.67%，预算增长的原因主要是本校学生人数增加，规模进一步扩大，经费预算加大，另外专项资金预算加大，新增还长沙银行贷款资金、新建食堂等资金。其中财政拨款收入年初预算4685.08万元，比上年增加了1906.28万元；事业收入年初预算1840万元，比上年增加了400万元，原因是征收成本比上年增加了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部门2017年初预算支出6525.08万元，比上年预算增加了2306.28万元，增长54.67%，预算增长原因主要是学校规模进一步扩大，学校要加强专业能力建设和基础设施建设，为较适合学生提供良好的教育教学环境。其中基本支出预算3075.47万元，比上年预算增加了641.34万元，增长26.34%，主要原因还是规模逐步扩大所致。项目支出预算3449.61万元，比上年预算增加了1664.94万元，增长93.29%，主要原因是学校升专后，配套设施需要与社会发展速度匹配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年度执行中因单位人数变动及单位事权调整，预算跟随调整，主要变化是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2018年实际收入8178.86万元，比预算增加1653.78万元，其中财政拨款收入调整增加1250.36万元，事业收入增加376万元，其他收入增加27.43万元。</w:t>
      </w:r>
    </w:p>
    <w:p>
      <w:pPr>
        <w:spacing w:beforeLines="0" w:afterLines="0" w:line="520" w:lineRule="exact"/>
        <w:ind w:firstLine="643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三、</w:t>
      </w:r>
      <w:r>
        <w:rPr>
          <w:rFonts w:hint="eastAsia" w:ascii="楷体" w:hAnsi="楷体" w:eastAsia="楷体" w:cs="楷体"/>
          <w:b/>
          <w:sz w:val="28"/>
          <w:szCs w:val="28"/>
        </w:rPr>
        <w:t>收入支出预算执行情况。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年收入实际完成8178.86万元，比上年增加781.81万元，增长10.57%，主要是学校规模扩大。其中财政拨款收入实际完成5935.43万元，比上年增加162.11万元，增长2.8%，主要原因还是学校规模逐步扩大，学生人数增多等；事业收入实际完成2215.99万元，比上年增加614.12万元，增长38.33%，原因是学生人数增加，学校催缴学生学费欠款。其他收入实际完成27.43万元，比上年增加5.57万元。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年支出实际完成9839.60万元，比上年增加1797.43万元，增长22.35%，主要是学校规模逐步扩大，配套设施需要与社会发展速度匹配。其中基本支出完成6325.22万元，比上年增加480.35万元，增长8.21%；项目支出完成3514.38万元，比上年增加1317.08，增加59.94%；人员经费完成4881.41万4588.26元，比上年减少293.15万元，降低6%，主要原因考务绩效、课时绩效、行政岗位绩效等因2018年接受检查，调整绩效方案等原因暂未发放；公用经费实际完成7万元，比上年增加773.51万元增长80.28%，主要原因是学校招生人数增多，学校在编教职工增加，外聘教职工人数同样增多，另外，我校有部分零星工程支出不属于财政专项支出，费用从自筹资金中开支，列入基本支出日常公用经费支出。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收入支出与预算对比分析。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本部门收入决算数8178.86万元，比预算多了1653.78万元，其中财政拨款收入决算数5935.44万元，比预算增加了1250.36万元，事业收入决算数2216.00万元，比预算增加了376万元，其他收入决算数27.43万元，比预算增加了27.43万元。变化主要原因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年度执行中因单位人数变动及单位事权调整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等，预算跟着调整。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本部门支出决算数8042.17万元，比预算多了3314.52万元，其中基本支出决算数6325.22万元，比预算多3249.75万元；项目支出决算数3514.38万元，比预算多64.77万元；人员经费决算数4588.26万元，比预算多1846.52万元；公用经费决算数1736.96万元，比预算多了1403.23万元。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2、收入支出结构分析。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2018年部门实际总收入8178.86万元：其中财政补助收入5935.44万元，占总收入的72.57%，事业收入2216.00万元占总收入的27.10%，其他收入21.86万元，占总收入的0.33%。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部门实际总支出9839.60万元：其中基本支出6325.22万元，占总支出的64.28%，项目支出3514.38万元，点总支出的35.72%。人员经费与公用经费占比分析：人员经费与公用经费支出总计6325.22万元，其中人员经费4588.26万元占比72.54%，公用经费1736.96万元，占比27.46%。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部门实际支出9839.60万元，按支出经济分类结构分析：工资福利支出4451.43万元，占总支出的45.24%；商品和服务支出1081.81万元，占总支出的11%；对个人和家庭的补助支出381.85万元，占总支出的3.88%；债务利息及费用支出1232万元，占总支出的12.52%；资本性支出（基本建设）支出1705.34万元，占总支出的17.33%；资本性支出987.17万元，占总支出的10.03%。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3、财政拨款收入支出结构分析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2018年部门财政拨款收入5935.44万元。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部门财政拨款支出8130.90万元（用了上年结转资金），其中基本支出4616.53万元，占总支出的56.77%；项目支出3514.38万元，点总支出的43.23%。人员经费与公用经费占比分析：人员经费与公用经费支出总计4616.53万元，其中人员经费3132.68万元占比67.86%，公用经费1483.85万元，占比32.14%。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部门财政拨款支出8130.9万元（用了上年结转资金）。按支出经济分类结构分析：工资福利支出3027.60万元，占总支出的37.23%；商品和服务支出925.93万元，占总支出的11.38%；对个人和家庭的补助支出350.10万元，占总支出的4.3%；债务利息及费用支出1232万元，占总支出的15.15%，资本性支出（基本建设）支出1705.34.占总支出的20.97%，资本性支出889.93万元，占总支出的10.97%。</w:t>
      </w:r>
    </w:p>
    <w:p>
      <w:pPr>
        <w:numPr>
          <w:ilvl w:val="0"/>
          <w:numId w:val="0"/>
        </w:numPr>
        <w:spacing w:beforeLines="0" w:afterLines="0" w:line="520" w:lineRule="exact"/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4.三公经费支出情况分析</w:t>
      </w:r>
    </w:p>
    <w:p>
      <w:pPr>
        <w:numPr>
          <w:ilvl w:val="0"/>
          <w:numId w:val="0"/>
        </w:numPr>
        <w:spacing w:beforeLines="0" w:afterLines="0" w:line="520" w:lineRule="exact"/>
        <w:ind w:firstLine="840" w:firstLineChars="3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2018年部门三公经费支出情况：</w:t>
      </w:r>
    </w:p>
    <w:p>
      <w:pPr>
        <w:numPr>
          <w:ilvl w:val="0"/>
          <w:numId w:val="0"/>
        </w:numPr>
        <w:spacing w:beforeLines="0" w:afterLines="0" w:line="520" w:lineRule="exact"/>
        <w:ind w:firstLine="840" w:firstLineChars="3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1.公务接待费2018年初预算数20万元，2018年实际完成数0.96万元，比预算少19.04万元，比上年节约2万元，比上年下降67.56%；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2、出国出境经费2018年初预算数10万元，2018年未发生出国出境费用。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3.公务用车运行维护费2018年初预算32万元，2017年实际完成数15.92万元，比预算少16.08万元，比上年增加4.24万元，比上年增加36.3%。原因是燃油物价上涨，燃油经费增加，且2017年加油卡中有2016年结存的燃油费，另外，我校公务用车使用年限久，目前维修经费增加。</w:t>
      </w:r>
    </w:p>
    <w:p>
      <w:pPr>
        <w:numPr>
          <w:ilvl w:val="0"/>
          <w:numId w:val="0"/>
        </w:numPr>
        <w:spacing w:beforeLines="0" w:afterLines="0" w:line="520" w:lineRule="exact"/>
        <w:ind w:firstLine="562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四、年末结转结余情况分析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本部门年末结转结余2029.14万元，比上年结转结余减少了241.49万元，下降10.64%；其中基本支出结转结余740.81万元，比上年减少109.67万元，下降12.9%；项目支出结转结余1288.33万元，比上年减少131.82万元，下降9.28%。</w:t>
      </w:r>
    </w:p>
    <w:p>
      <w:pPr>
        <w:numPr>
          <w:ilvl w:val="0"/>
          <w:numId w:val="0"/>
        </w:numPr>
        <w:spacing w:beforeLines="0" w:afterLines="0" w:line="520" w:lineRule="exact"/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五、年末长期资产情况分析</w:t>
      </w:r>
    </w:p>
    <w:p>
      <w:pPr>
        <w:numPr>
          <w:ilvl w:val="0"/>
          <w:numId w:val="0"/>
        </w:numPr>
        <w:spacing w:beforeLines="0" w:afterLines="0" w:line="520" w:lineRule="exact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2018年本部门年末长期资产决算数28909.14万元，上年末长期资产决算数28500.11万元，今年比上年增加409.03万元，增长1.44%。</w:t>
      </w:r>
    </w:p>
    <w:p>
      <w:pPr>
        <w:numPr>
          <w:ilvl w:val="0"/>
          <w:numId w:val="0"/>
        </w:numPr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六、政府采购情况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2018年年初预算政府采购：货物类预算数2677万元，年末执行数1043.86万元；服务类预算数860万元，年末执行数79.9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0万元；工程类预算数1080万元，年末执行数235.27万元。</w:t>
      </w:r>
    </w:p>
    <w:p>
      <w:pPr>
        <w:numPr>
          <w:ilvl w:val="0"/>
          <w:numId w:val="0"/>
        </w:numPr>
        <w:ind w:firstLine="843" w:firstLineChars="3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存在问题分析</w:t>
      </w:r>
    </w:p>
    <w:p>
      <w:pPr>
        <w:ind w:firstLine="840" w:firstLineChars="3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本部门2018年决算数据真实可靠，也比较及时完成报出。存在的问题：2018与2017年相比差异率较大，原因是2017年因项目进度缓慢，房屋建筑物的工程款尚未支付，2018年因项目进度正常化，需要支付到期相应的项目工程款。</w:t>
      </w:r>
    </w:p>
    <w:p>
      <w:pPr>
        <w:ind w:firstLine="840" w:firstLineChars="3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                        湘南幼儿师范高等专科学校</w:t>
      </w:r>
    </w:p>
    <w:p>
      <w:pPr>
        <w:ind w:firstLine="840" w:firstLineChars="3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                            2019年1月24日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```````````````````````````````````````````````````````````````````````````````````````````````````````````````````````````````````````````````````````````````````````````````````````````````````````````````````````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0067"/>
    <w:rsid w:val="008F05A1"/>
    <w:rsid w:val="00A93FF9"/>
    <w:rsid w:val="01A6625F"/>
    <w:rsid w:val="01BD1661"/>
    <w:rsid w:val="031266DB"/>
    <w:rsid w:val="04A07FA6"/>
    <w:rsid w:val="050D1622"/>
    <w:rsid w:val="07013158"/>
    <w:rsid w:val="0884107F"/>
    <w:rsid w:val="09014DD5"/>
    <w:rsid w:val="094617AC"/>
    <w:rsid w:val="095B4AC8"/>
    <w:rsid w:val="0C61226A"/>
    <w:rsid w:val="0DE01B8F"/>
    <w:rsid w:val="0E6A7FAC"/>
    <w:rsid w:val="0F2D68A7"/>
    <w:rsid w:val="0F9D52AC"/>
    <w:rsid w:val="111A3AA6"/>
    <w:rsid w:val="11CA7C3A"/>
    <w:rsid w:val="135746D9"/>
    <w:rsid w:val="13CD724A"/>
    <w:rsid w:val="140115FC"/>
    <w:rsid w:val="1483452D"/>
    <w:rsid w:val="164B517F"/>
    <w:rsid w:val="17C62C17"/>
    <w:rsid w:val="18E44E4C"/>
    <w:rsid w:val="19777A90"/>
    <w:rsid w:val="19954C94"/>
    <w:rsid w:val="1EAE0E22"/>
    <w:rsid w:val="22B15F9C"/>
    <w:rsid w:val="252761DC"/>
    <w:rsid w:val="2631388F"/>
    <w:rsid w:val="28A0758E"/>
    <w:rsid w:val="29FB4187"/>
    <w:rsid w:val="2A614BAB"/>
    <w:rsid w:val="312C0BA1"/>
    <w:rsid w:val="317F0B68"/>
    <w:rsid w:val="31EF487A"/>
    <w:rsid w:val="320A7188"/>
    <w:rsid w:val="33014E47"/>
    <w:rsid w:val="362F4C3A"/>
    <w:rsid w:val="385E2900"/>
    <w:rsid w:val="38CA2FB6"/>
    <w:rsid w:val="38E70928"/>
    <w:rsid w:val="3908380A"/>
    <w:rsid w:val="3A743FC1"/>
    <w:rsid w:val="3CBE0815"/>
    <w:rsid w:val="3D1E38B8"/>
    <w:rsid w:val="3E486532"/>
    <w:rsid w:val="3E564622"/>
    <w:rsid w:val="3F7F2077"/>
    <w:rsid w:val="3F8B5546"/>
    <w:rsid w:val="41A6094B"/>
    <w:rsid w:val="42531789"/>
    <w:rsid w:val="43D53C8C"/>
    <w:rsid w:val="45574F2F"/>
    <w:rsid w:val="47246C82"/>
    <w:rsid w:val="47282D2C"/>
    <w:rsid w:val="487F1648"/>
    <w:rsid w:val="4980580D"/>
    <w:rsid w:val="49CF3B8C"/>
    <w:rsid w:val="4A5D56B2"/>
    <w:rsid w:val="4D047ACE"/>
    <w:rsid w:val="4D2F3CE7"/>
    <w:rsid w:val="4DEA42A8"/>
    <w:rsid w:val="4E48277F"/>
    <w:rsid w:val="50E810DF"/>
    <w:rsid w:val="54AC1698"/>
    <w:rsid w:val="54E80B4F"/>
    <w:rsid w:val="54F5446C"/>
    <w:rsid w:val="5513349A"/>
    <w:rsid w:val="56090A21"/>
    <w:rsid w:val="56955B46"/>
    <w:rsid w:val="59F51627"/>
    <w:rsid w:val="5A2E4D53"/>
    <w:rsid w:val="5A623818"/>
    <w:rsid w:val="5A64586F"/>
    <w:rsid w:val="5A792076"/>
    <w:rsid w:val="5C931909"/>
    <w:rsid w:val="5CB11B13"/>
    <w:rsid w:val="5D635EA7"/>
    <w:rsid w:val="5E11301A"/>
    <w:rsid w:val="5F4D5740"/>
    <w:rsid w:val="607B2C4B"/>
    <w:rsid w:val="61856C69"/>
    <w:rsid w:val="618E2225"/>
    <w:rsid w:val="62631C38"/>
    <w:rsid w:val="64A74168"/>
    <w:rsid w:val="66D4486C"/>
    <w:rsid w:val="675935F1"/>
    <w:rsid w:val="67AE5958"/>
    <w:rsid w:val="68411C65"/>
    <w:rsid w:val="69530A77"/>
    <w:rsid w:val="6A30055E"/>
    <w:rsid w:val="6A775A99"/>
    <w:rsid w:val="6A92717E"/>
    <w:rsid w:val="6D084225"/>
    <w:rsid w:val="6E3E49D7"/>
    <w:rsid w:val="6EF2453B"/>
    <w:rsid w:val="6F77345F"/>
    <w:rsid w:val="71CA1AB5"/>
    <w:rsid w:val="73657CE9"/>
    <w:rsid w:val="748E2BAD"/>
    <w:rsid w:val="75520EBE"/>
    <w:rsid w:val="76016B2B"/>
    <w:rsid w:val="765A53CE"/>
    <w:rsid w:val="76634F05"/>
    <w:rsid w:val="7726070B"/>
    <w:rsid w:val="772F7B8E"/>
    <w:rsid w:val="77FA6316"/>
    <w:rsid w:val="788C594B"/>
    <w:rsid w:val="7A8B3754"/>
    <w:rsid w:val="7B1B3729"/>
    <w:rsid w:val="7B470D51"/>
    <w:rsid w:val="7D266E18"/>
    <w:rsid w:val="7DFE4CBE"/>
    <w:rsid w:val="7EAA0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2018-01-27T02:38:00Z</dcterms:created>
  <dc:creator>Administrator</dc:creator>
  <cp:lastModifiedBy>Administrator</cp:lastModifiedBy>
  <dcterms:modified xsi:type="dcterms:W3CDTF">2019-09-26T03:57:35Z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