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473D6">
      <w:pPr>
        <w:spacing w:after="312" w:afterLines="100" w:line="560" w:lineRule="exact"/>
        <w:jc w:val="center"/>
        <w:rPr>
          <w:rFonts w:hint="eastAsia" w:ascii="宋体" w:hAnsi="宋体" w:eastAsia="宋体" w:cs="宋体"/>
          <w:b/>
          <w:bCs/>
          <w:sz w:val="44"/>
          <w:szCs w:val="44"/>
        </w:rPr>
      </w:pPr>
      <w:bookmarkStart w:id="0" w:name="_Hlk183509457"/>
      <w:r>
        <w:rPr>
          <w:rFonts w:hint="eastAsia" w:ascii="宋体" w:hAnsi="宋体" w:eastAsia="宋体" w:cs="宋体"/>
          <w:b/>
          <w:bCs/>
          <w:sz w:val="44"/>
          <w:szCs w:val="44"/>
        </w:rPr>
        <w:t>湘南幼儿师范高等专科学校实习实训科研创新管理系统建设服务</w:t>
      </w:r>
      <w:bookmarkEnd w:id="0"/>
      <w:r>
        <w:rPr>
          <w:rFonts w:hint="eastAsia" w:ascii="宋体" w:hAnsi="宋体" w:eastAsia="宋体" w:cs="宋体"/>
          <w:b/>
          <w:bCs/>
          <w:sz w:val="44"/>
          <w:szCs w:val="44"/>
        </w:rPr>
        <w:t>采购方案</w:t>
      </w:r>
    </w:p>
    <w:p w14:paraId="3ABCAAF0">
      <w:pPr>
        <w:pStyle w:val="15"/>
        <w:rPr>
          <w:rFonts w:hint="eastAsia"/>
        </w:rPr>
      </w:pPr>
    </w:p>
    <w:p w14:paraId="6F2E96A7">
      <w:pPr>
        <w:adjustRightInd w:val="0"/>
        <w:snapToGrid w:val="0"/>
        <w:spacing w:line="360" w:lineRule="auto"/>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总控制价：</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u w:val="single"/>
          <w:lang w:val="en-US" w:eastAsia="zh-CN"/>
        </w:rPr>
        <w:t xml:space="preserve">190000 </w:t>
      </w:r>
      <w:r>
        <w:rPr>
          <w:rFonts w:hint="eastAsia" w:ascii="宋体" w:hAnsi="宋体" w:eastAsia="宋体" w:cs="宋体"/>
          <w:b/>
          <w:color w:val="000000"/>
          <w:sz w:val="32"/>
          <w:szCs w:val="32"/>
        </w:rPr>
        <w:t>元</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lang w:val="en-US" w:eastAsia="zh-CN"/>
        </w:rPr>
        <w:t>大写：壹拾玖万元整</w:t>
      </w:r>
      <w:r>
        <w:rPr>
          <w:rFonts w:hint="eastAsia" w:ascii="宋体" w:hAnsi="宋体" w:eastAsia="宋体" w:cs="宋体"/>
          <w:b/>
          <w:color w:val="000000"/>
          <w:sz w:val="32"/>
          <w:szCs w:val="32"/>
          <w:lang w:eastAsia="zh-CN"/>
        </w:rPr>
        <w:t>）</w:t>
      </w:r>
    </w:p>
    <w:p w14:paraId="69566519">
      <w:pPr>
        <w:adjustRightInd w:val="0"/>
        <w:snapToGrid w:val="0"/>
        <w:spacing w:line="360" w:lineRule="auto"/>
        <w:jc w:val="left"/>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rPr>
        <w:t>采购方式：</w:t>
      </w:r>
      <w:r>
        <w:rPr>
          <w:rFonts w:hint="eastAsia" w:ascii="宋体" w:hAnsi="宋体" w:eastAsia="宋体" w:cs="宋体"/>
          <w:b/>
          <w:color w:val="000000"/>
          <w:sz w:val="32"/>
          <w:szCs w:val="32"/>
          <w:lang w:val="en-US" w:eastAsia="zh-CN"/>
        </w:rPr>
        <w:t>公开挂网竞价、电子卖场直购</w:t>
      </w:r>
    </w:p>
    <w:p w14:paraId="493EA84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ascii="微软雅黑" w:hAnsi="微软雅黑" w:eastAsia="微软雅黑" w:cs="微软雅黑"/>
          <w:i w:val="0"/>
          <w:iCs w:val="0"/>
          <w:caps w:val="0"/>
          <w:color w:val="333333"/>
          <w:spacing w:val="0"/>
          <w:kern w:val="0"/>
          <w:sz w:val="27"/>
          <w:szCs w:val="27"/>
          <w:lang w:val="en-US" w:eastAsia="zh-CN" w:bidi="ar-SA"/>
        </w:rPr>
      </w:pPr>
      <w:r>
        <w:rPr>
          <w:rFonts w:hint="eastAsia" w:asciiTheme="minorHAnsi" w:hAnsiTheme="minorHAnsi" w:eastAsiaTheme="minorEastAsia" w:cstheme="minorBidi"/>
          <w:b/>
          <w:bCs/>
          <w:color w:val="000000"/>
          <w:kern w:val="2"/>
          <w:sz w:val="28"/>
          <w:szCs w:val="28"/>
          <w:lang w:val="en-US" w:eastAsia="zh-CN" w:bidi="ar-SA"/>
        </w:rPr>
        <w:t>一、报名条件：</w:t>
      </w:r>
    </w:p>
    <w:p w14:paraId="712D3601">
      <w:pPr>
        <w:keepNext w:val="0"/>
        <w:keepLines w:val="0"/>
        <w:widowControl/>
        <w:suppressLineNumbers w:val="0"/>
        <w:shd w:val="clear" w:fill="FFFFFF"/>
        <w:spacing w:before="75" w:beforeAutospacing="0" w:after="75" w:afterAutospacing="0" w:line="540" w:lineRule="atLeast"/>
        <w:ind w:left="0" w:right="0" w:firstLine="55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1、要求直接参与投标的投标人具有独立法人资格，并能提供计算机软件相关《营业执照》副本及身份证原件；</w:t>
      </w:r>
    </w:p>
    <w:p w14:paraId="5BA34BE7">
      <w:pPr>
        <w:keepNext w:val="0"/>
        <w:keepLines w:val="0"/>
        <w:widowControl/>
        <w:suppressLineNumbers w:val="0"/>
        <w:shd w:val="clear" w:fill="FFFFFF"/>
        <w:spacing w:before="75" w:beforeAutospacing="0" w:after="75" w:afterAutospacing="0" w:line="540" w:lineRule="atLeast"/>
        <w:ind w:left="0" w:right="0" w:firstLine="55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2、非法人代表直接参与投标时，需提供授权委托书及身份证等原件。</w:t>
      </w:r>
    </w:p>
    <w:p w14:paraId="3B5C051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Theme="minorHAnsi" w:hAnsiTheme="minorHAnsi" w:eastAsiaTheme="minorEastAsia" w:cstheme="minorBidi"/>
          <w:b/>
          <w:bCs/>
          <w:color w:val="000000"/>
          <w:kern w:val="2"/>
          <w:sz w:val="28"/>
          <w:szCs w:val="28"/>
          <w:lang w:val="en-US" w:eastAsia="zh-CN" w:bidi="ar-SA"/>
        </w:rPr>
      </w:pPr>
      <w:r>
        <w:rPr>
          <w:rFonts w:hint="eastAsia" w:cstheme="minorBidi"/>
          <w:b/>
          <w:bCs/>
          <w:color w:val="000000"/>
          <w:kern w:val="2"/>
          <w:sz w:val="28"/>
          <w:szCs w:val="28"/>
          <w:lang w:val="en-US" w:eastAsia="zh-CN" w:bidi="ar-SA"/>
        </w:rPr>
        <w:t>二、</w:t>
      </w:r>
      <w:r>
        <w:rPr>
          <w:rFonts w:hint="eastAsia" w:asciiTheme="minorHAnsi" w:hAnsiTheme="minorHAnsi" w:eastAsiaTheme="minorEastAsia" w:cstheme="minorBidi"/>
          <w:b/>
          <w:bCs/>
          <w:color w:val="000000"/>
          <w:kern w:val="2"/>
          <w:sz w:val="28"/>
          <w:szCs w:val="28"/>
          <w:lang w:val="en-US" w:eastAsia="zh-CN" w:bidi="ar-SA"/>
        </w:rPr>
        <w:t>采购需求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73"/>
        <w:gridCol w:w="2122"/>
        <w:gridCol w:w="971"/>
        <w:gridCol w:w="1086"/>
        <w:gridCol w:w="1510"/>
      </w:tblGrid>
      <w:tr w14:paraId="7CBE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95" w:type="dxa"/>
            <w:vAlign w:val="center"/>
          </w:tcPr>
          <w:p w14:paraId="543B40C1">
            <w:pPr>
              <w:spacing w:line="12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2473" w:type="dxa"/>
            <w:vAlign w:val="center"/>
          </w:tcPr>
          <w:p w14:paraId="00301551">
            <w:pPr>
              <w:spacing w:line="12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2122" w:type="dxa"/>
            <w:vAlign w:val="center"/>
          </w:tcPr>
          <w:p w14:paraId="4FAE78CD">
            <w:pPr>
              <w:spacing w:line="120" w:lineRule="auto"/>
              <w:jc w:val="center"/>
              <w:rPr>
                <w:rFonts w:hint="eastAsia" w:ascii="宋体" w:hAnsi="宋体" w:eastAsia="宋体" w:cs="宋体"/>
                <w:sz w:val="28"/>
                <w:szCs w:val="28"/>
              </w:rPr>
            </w:pPr>
            <w:r>
              <w:rPr>
                <w:rFonts w:hint="eastAsia" w:ascii="宋体" w:hAnsi="宋体" w:eastAsia="宋体" w:cs="宋体"/>
                <w:sz w:val="28"/>
                <w:szCs w:val="28"/>
              </w:rPr>
              <w:t>系统参数要求</w:t>
            </w:r>
          </w:p>
        </w:tc>
        <w:tc>
          <w:tcPr>
            <w:tcW w:w="971" w:type="dxa"/>
            <w:vAlign w:val="center"/>
          </w:tcPr>
          <w:p w14:paraId="735D2909">
            <w:pPr>
              <w:spacing w:line="12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086" w:type="dxa"/>
            <w:vAlign w:val="center"/>
          </w:tcPr>
          <w:p w14:paraId="57FC4151">
            <w:pPr>
              <w:spacing w:line="120" w:lineRule="auto"/>
              <w:jc w:val="center"/>
              <w:rPr>
                <w:rFonts w:hint="eastAsia" w:ascii="宋体" w:hAnsi="宋体" w:eastAsia="宋体" w:cs="宋体"/>
                <w:sz w:val="28"/>
                <w:szCs w:val="28"/>
              </w:rPr>
            </w:pPr>
            <w:r>
              <w:rPr>
                <w:rFonts w:hint="eastAsia" w:ascii="宋体" w:hAnsi="宋体" w:eastAsia="宋体" w:cs="宋体"/>
                <w:sz w:val="28"/>
                <w:szCs w:val="28"/>
              </w:rPr>
              <w:t>单位</w:t>
            </w:r>
          </w:p>
        </w:tc>
        <w:tc>
          <w:tcPr>
            <w:tcW w:w="1510" w:type="dxa"/>
            <w:vAlign w:val="center"/>
          </w:tcPr>
          <w:p w14:paraId="0362B4CB">
            <w:pPr>
              <w:spacing w:line="120" w:lineRule="auto"/>
              <w:jc w:val="center"/>
              <w:rPr>
                <w:rFonts w:hint="eastAsia" w:ascii="宋体" w:hAnsi="宋体" w:eastAsia="宋体" w:cs="宋体"/>
                <w:sz w:val="28"/>
                <w:szCs w:val="28"/>
              </w:rPr>
            </w:pPr>
            <w:r>
              <w:rPr>
                <w:rFonts w:hint="eastAsia" w:ascii="宋体" w:hAnsi="宋体" w:eastAsia="宋体" w:cs="宋体"/>
                <w:sz w:val="28"/>
                <w:szCs w:val="28"/>
              </w:rPr>
              <w:t>备注</w:t>
            </w:r>
          </w:p>
        </w:tc>
      </w:tr>
      <w:tr w14:paraId="17B7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95" w:type="dxa"/>
            <w:vAlign w:val="center"/>
          </w:tcPr>
          <w:p w14:paraId="343E4D8F">
            <w:pPr>
              <w:spacing w:line="12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2473" w:type="dxa"/>
            <w:vAlign w:val="center"/>
          </w:tcPr>
          <w:p w14:paraId="553246C8">
            <w:pPr>
              <w:spacing w:line="120" w:lineRule="auto"/>
              <w:jc w:val="center"/>
              <w:rPr>
                <w:rFonts w:hint="eastAsia" w:ascii="宋体" w:hAnsi="宋体" w:eastAsia="宋体" w:cs="宋体"/>
                <w:sz w:val="28"/>
                <w:szCs w:val="28"/>
              </w:rPr>
            </w:pPr>
            <w:r>
              <w:rPr>
                <w:rFonts w:ascii="宋体" w:hAnsi="宋体" w:eastAsia="宋体" w:cs="宋体"/>
                <w:sz w:val="28"/>
                <w:szCs w:val="28"/>
              </w:rPr>
              <w:t>实习实训科研创新管理系统建设服务</w:t>
            </w:r>
          </w:p>
        </w:tc>
        <w:tc>
          <w:tcPr>
            <w:tcW w:w="2122" w:type="dxa"/>
            <w:vAlign w:val="center"/>
          </w:tcPr>
          <w:p w14:paraId="04D24CB6">
            <w:pPr>
              <w:spacing w:line="120" w:lineRule="auto"/>
              <w:jc w:val="center"/>
              <w:rPr>
                <w:rFonts w:hint="eastAsia" w:ascii="宋体" w:hAnsi="宋体" w:eastAsia="宋体" w:cs="宋体"/>
                <w:sz w:val="28"/>
                <w:szCs w:val="28"/>
              </w:rPr>
            </w:pPr>
            <w:r>
              <w:rPr>
                <w:rFonts w:hint="eastAsia" w:ascii="宋体" w:hAnsi="宋体" w:eastAsia="宋体" w:cs="宋体"/>
                <w:sz w:val="28"/>
                <w:szCs w:val="28"/>
              </w:rPr>
              <w:t>系统详细参数及要求如下</w:t>
            </w:r>
          </w:p>
        </w:tc>
        <w:tc>
          <w:tcPr>
            <w:tcW w:w="971" w:type="dxa"/>
            <w:vAlign w:val="center"/>
          </w:tcPr>
          <w:p w14:paraId="12D5A4BB">
            <w:pPr>
              <w:spacing w:line="12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1086" w:type="dxa"/>
            <w:vAlign w:val="center"/>
          </w:tcPr>
          <w:p w14:paraId="291D5FC5">
            <w:pPr>
              <w:spacing w:line="120" w:lineRule="auto"/>
              <w:jc w:val="center"/>
              <w:rPr>
                <w:rFonts w:hint="eastAsia" w:ascii="宋体" w:hAnsi="宋体" w:eastAsia="宋体" w:cs="宋体"/>
                <w:sz w:val="28"/>
                <w:szCs w:val="28"/>
              </w:rPr>
            </w:pPr>
            <w:r>
              <w:rPr>
                <w:rFonts w:hint="eastAsia" w:ascii="宋体" w:hAnsi="宋体" w:eastAsia="宋体" w:cs="宋体"/>
                <w:sz w:val="28"/>
                <w:szCs w:val="28"/>
              </w:rPr>
              <w:t>套</w:t>
            </w:r>
          </w:p>
        </w:tc>
        <w:tc>
          <w:tcPr>
            <w:tcW w:w="1510" w:type="dxa"/>
            <w:vAlign w:val="center"/>
          </w:tcPr>
          <w:p w14:paraId="66EFC721">
            <w:pPr>
              <w:spacing w:line="120" w:lineRule="auto"/>
              <w:jc w:val="center"/>
              <w:rPr>
                <w:rFonts w:hint="eastAsia" w:ascii="宋体" w:hAnsi="宋体" w:eastAsia="宋体" w:cs="宋体"/>
                <w:sz w:val="28"/>
                <w:szCs w:val="28"/>
              </w:rPr>
            </w:pPr>
          </w:p>
        </w:tc>
      </w:tr>
    </w:tbl>
    <w:p w14:paraId="69CD8854">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（一）总体设计</w:t>
      </w:r>
    </w:p>
    <w:p w14:paraId="0CF3DDD4">
      <w:pPr>
        <w:spacing w:line="560" w:lineRule="exact"/>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科研创新管理平台涵盖学院科研管理工作的所有环节，涉及到科研项目、科研经费、科研成果、科研质量考核及数据上报等方面，基于学院内网（局域网）为科研工作提供先进、实用的信息化管理手段，为科研人员及管理人员提供简便、快捷的网络化信息服务。</w:t>
      </w:r>
    </w:p>
    <w:p w14:paraId="0291C34B">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（二）系统结构</w:t>
      </w:r>
    </w:p>
    <w:p w14:paraId="2CFDCD5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1．系统采用Java语言开发，基于B/S结构，无需安装客户端软件。具备良好的浏览器兼容性，管理人员、教师、学生都能在IE、谷歌、火狐等主流版本浏览器下进行所有的功能操作。</w:t>
      </w:r>
    </w:p>
    <w:p w14:paraId="1FBB6C2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系统采用基于服务的设计理念，支持中间件技术，提高系统的可维护性和软件代码的重用性，降低学校对IT资源的投资。采用基于面向对象的组件开发技术，构建可重用的业务组件，利用这些组件能快速响应学校业务变更，搭建新应用。支持工作流引擎机制，提供流程自定义功能。</w:t>
      </w:r>
    </w:p>
    <w:p w14:paraId="74320EE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3．信息标准要求：系统的开发必须严格遵循教育部的教育信息化行业标准，并符合学校要求的相关信息标准。</w:t>
      </w:r>
    </w:p>
    <w:p w14:paraId="3F73A1B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4．可靠性、稳定性要求：具有良好的运行保障体系，提供完善的存储、备份手段，提供故障恢复手段，确保系统的稳定性；</w:t>
      </w:r>
    </w:p>
    <w:p w14:paraId="520FE0FE">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5．界面友好性要求：操作流程清晰简洁，用户界面美观大方，给用户提供良好的操作体验。</w:t>
      </w:r>
    </w:p>
    <w:p w14:paraId="46373F3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安全性和保密性要求：系统设计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14:paraId="50823EF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7．可管理性要求：系统的设计必须有很好的可管理性，业务流程清晰，权限划分合理，提供便捷的搜索功能和工作流控制功能。</w:t>
      </w:r>
    </w:p>
    <w:p w14:paraId="2FB62C8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8．系统部署要求：要求支持跨平台(window\Linux)环境进行系统部署，数据库要求支持MYSQL/SQLserver2008/2012等以上版本或Oracle 10g以上；支持物理机、虚拟机、私有云、公有云的部署模式。</w:t>
      </w:r>
    </w:p>
    <w:p w14:paraId="7AD5E8C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9．系统集成要求：按照学校要求开放接口，支持与智慧校园基础平台及各应用系统集成。</w:t>
      </w:r>
    </w:p>
    <w:p w14:paraId="7B4F7EDE">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（三）系统使用人员：</w:t>
      </w:r>
      <w:r>
        <w:rPr>
          <w:rFonts w:hint="eastAsia" w:ascii="宋体" w:hAnsi="宋体" w:eastAsia="宋体" w:cs="宋体"/>
          <w:sz w:val="28"/>
          <w:szCs w:val="28"/>
        </w:rPr>
        <w:t>校领导、科研中心主任、科研业务管理员、校内外专家、所有参与科研工作的人员。</w:t>
      </w:r>
    </w:p>
    <w:p w14:paraId="33C2F892">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（四）使用环境：</w:t>
      </w:r>
      <w:r>
        <w:rPr>
          <w:rFonts w:hint="eastAsia" w:ascii="宋体" w:hAnsi="宋体" w:eastAsia="宋体" w:cs="宋体"/>
          <w:sz w:val="28"/>
          <w:szCs w:val="28"/>
        </w:rPr>
        <w:t>学校局域网，部置于学校中心机房，服务器由校方提供。一是便捷与学校其他系统的数据互通共享，方便工作对接；二是为保证学校科研管理平台数据的保密和安全。</w:t>
      </w:r>
    </w:p>
    <w:p w14:paraId="59C6BE7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（五）功能需求描述</w:t>
      </w:r>
    </w:p>
    <w:p w14:paraId="3886F696">
      <w:pPr>
        <w:pStyle w:val="15"/>
        <w:rPr>
          <w:rFonts w:hint="eastAsia"/>
        </w:rPr>
      </w:pPr>
    </w:p>
    <w:tbl>
      <w:tblPr>
        <w:tblStyle w:val="10"/>
        <w:tblW w:w="5294" w:type="pct"/>
        <w:tblInd w:w="0" w:type="dxa"/>
        <w:tblLayout w:type="autofit"/>
        <w:tblCellMar>
          <w:top w:w="0" w:type="dxa"/>
          <w:left w:w="108" w:type="dxa"/>
          <w:bottom w:w="0" w:type="dxa"/>
          <w:right w:w="108" w:type="dxa"/>
        </w:tblCellMar>
      </w:tblPr>
      <w:tblGrid>
        <w:gridCol w:w="653"/>
        <w:gridCol w:w="1093"/>
        <w:gridCol w:w="5924"/>
        <w:gridCol w:w="618"/>
        <w:gridCol w:w="653"/>
        <w:gridCol w:w="652"/>
      </w:tblGrid>
      <w:tr w14:paraId="528812EB">
        <w:tblPrEx>
          <w:tblCellMar>
            <w:top w:w="0" w:type="dxa"/>
            <w:left w:w="108" w:type="dxa"/>
            <w:bottom w:w="0" w:type="dxa"/>
            <w:right w:w="108" w:type="dxa"/>
          </w:tblCellMar>
        </w:tblPrEx>
        <w:trPr>
          <w:trHeight w:val="600" w:hRule="atLeast"/>
          <w:tblHeader/>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EBA4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81" w:type="pct"/>
            <w:tcBorders>
              <w:top w:val="single" w:color="auto" w:sz="4" w:space="0"/>
              <w:left w:val="nil"/>
              <w:bottom w:val="single" w:color="auto" w:sz="4" w:space="0"/>
              <w:right w:val="single" w:color="auto" w:sz="4" w:space="0"/>
            </w:tcBorders>
            <w:shd w:val="clear" w:color="auto" w:fill="auto"/>
            <w:noWrap/>
            <w:vAlign w:val="center"/>
          </w:tcPr>
          <w:p w14:paraId="462CEAD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099" w:type="pct"/>
            <w:tcBorders>
              <w:top w:val="single" w:color="auto" w:sz="4" w:space="0"/>
              <w:left w:val="nil"/>
              <w:bottom w:val="single" w:color="auto" w:sz="4" w:space="0"/>
              <w:right w:val="single" w:color="auto" w:sz="4" w:space="0"/>
            </w:tcBorders>
            <w:shd w:val="clear" w:color="auto" w:fill="auto"/>
            <w:noWrap/>
            <w:vAlign w:val="center"/>
          </w:tcPr>
          <w:p w14:paraId="443A2B0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功能模块/技术参数</w:t>
            </w:r>
          </w:p>
        </w:tc>
        <w:tc>
          <w:tcPr>
            <w:tcW w:w="265" w:type="pct"/>
            <w:tcBorders>
              <w:top w:val="single" w:color="auto" w:sz="4" w:space="0"/>
              <w:left w:val="nil"/>
              <w:bottom w:val="single" w:color="auto" w:sz="4" w:space="0"/>
              <w:right w:val="single" w:color="auto" w:sz="4" w:space="0"/>
            </w:tcBorders>
            <w:shd w:val="clear" w:color="auto" w:fill="auto"/>
            <w:noWrap/>
            <w:vAlign w:val="center"/>
          </w:tcPr>
          <w:p w14:paraId="069154C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106D463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4B2B2DC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14:paraId="4F64CA73">
        <w:tblPrEx>
          <w:tblCellMar>
            <w:top w:w="0" w:type="dxa"/>
            <w:left w:w="108" w:type="dxa"/>
            <w:bottom w:w="0" w:type="dxa"/>
            <w:right w:w="108" w:type="dxa"/>
          </w:tblCellMar>
        </w:tblPrEx>
        <w:trPr>
          <w:trHeight w:val="6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4AA33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一、软件系统（科研管理平台）</w:t>
            </w:r>
          </w:p>
        </w:tc>
      </w:tr>
      <w:tr w14:paraId="593142D6">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68B78A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81" w:type="pct"/>
            <w:tcBorders>
              <w:top w:val="nil"/>
              <w:left w:val="nil"/>
              <w:bottom w:val="single" w:color="auto" w:sz="4" w:space="0"/>
              <w:right w:val="single" w:color="auto" w:sz="4" w:space="0"/>
            </w:tcBorders>
            <w:shd w:val="clear" w:color="auto" w:fill="auto"/>
            <w:vAlign w:val="center"/>
          </w:tcPr>
          <w:p w14:paraId="644BF9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课题管理</w:t>
            </w:r>
          </w:p>
        </w:tc>
        <w:tc>
          <w:tcPr>
            <w:tcW w:w="3099" w:type="pct"/>
            <w:tcBorders>
              <w:top w:val="nil"/>
              <w:left w:val="nil"/>
              <w:bottom w:val="single" w:color="auto" w:sz="4" w:space="0"/>
              <w:right w:val="single" w:color="auto" w:sz="4" w:space="0"/>
            </w:tcBorders>
            <w:shd w:val="clear" w:color="auto" w:fill="auto"/>
            <w:vAlign w:val="center"/>
          </w:tcPr>
          <w:p w14:paraId="51A9C444">
            <w:pPr>
              <w:widowControl/>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w:t>
            </w:r>
            <w:r>
              <w:rPr>
                <w:rFonts w:hint="eastAsia" w:ascii="宋体" w:hAnsi="宋体" w:eastAsia="宋体" w:cs="宋体"/>
                <w:kern w:val="0"/>
                <w:sz w:val="20"/>
                <w:szCs w:val="20"/>
              </w:rPr>
              <w:t>课题申请:</w:t>
            </w:r>
          </w:p>
          <w:p w14:paraId="78DB44FC">
            <w:pPr>
              <w:widowControl/>
              <w:rPr>
                <w:rFonts w:hint="eastAsia"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w:t>
            </w:r>
            <w:r>
              <w:rPr>
                <w:rFonts w:hint="eastAsia" w:ascii="宋体" w:hAnsi="宋体" w:eastAsia="宋体" w:cs="宋体"/>
                <w:kern w:val="0"/>
                <w:sz w:val="20"/>
                <w:szCs w:val="20"/>
              </w:rPr>
              <w:t>项目</w:t>
            </w:r>
            <w:r>
              <w:rPr>
                <w:rFonts w:ascii="宋体" w:hAnsi="宋体" w:eastAsia="宋体" w:cs="宋体"/>
                <w:kern w:val="0"/>
                <w:sz w:val="20"/>
                <w:szCs w:val="20"/>
              </w:rPr>
              <w:t>申请：所有课题申报人员能申报符合条件的项目；能够新增、修改、删除申报记录；</w:t>
            </w:r>
          </w:p>
          <w:p w14:paraId="0EF2610D">
            <w:pPr>
              <w:widowControl/>
              <w:rPr>
                <w:rFonts w:hint="eastAsia"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2）专家意见：课题申报用户能够在评审结束后查阅专家评审意见；</w:t>
            </w:r>
          </w:p>
          <w:p w14:paraId="0381D99D">
            <w:pPr>
              <w:widowControl/>
              <w:rPr>
                <w:rFonts w:hint="eastAsia"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3）课题登记：对立项后的项目进行登记管理。项目信息主要包括基本信息、项目成员、项目文档、项目预算、衍生成果、到账经费、支出经费、年度工作量等信息。</w:t>
            </w:r>
          </w:p>
          <w:p w14:paraId="2785FDC1">
            <w:pPr>
              <w:widowControl/>
              <w:rPr>
                <w:rFonts w:hint="eastAsia" w:ascii="宋体" w:hAnsi="宋体" w:eastAsia="宋体" w:cs="宋体"/>
                <w:kern w:val="0"/>
                <w:sz w:val="20"/>
                <w:szCs w:val="20"/>
              </w:rPr>
            </w:pPr>
            <w:r>
              <w:rPr>
                <w:rFonts w:ascii="宋体" w:hAnsi="宋体" w:eastAsia="宋体" w:cs="宋体"/>
                <w:kern w:val="0"/>
                <w:sz w:val="20"/>
                <w:szCs w:val="20"/>
              </w:rPr>
              <w:t>2</w:t>
            </w:r>
            <w:r>
              <w:rPr>
                <w:rFonts w:hint="eastAsia" w:ascii="宋体" w:hAnsi="宋体" w:eastAsia="宋体" w:cs="宋体"/>
                <w:kern w:val="0"/>
                <w:sz w:val="20"/>
                <w:szCs w:val="20"/>
              </w:rPr>
              <w:t>.课题查询:</w:t>
            </w:r>
          </w:p>
          <w:p w14:paraId="5A64A4E9">
            <w:pPr>
              <w:widowControl/>
              <w:rPr>
                <w:rFonts w:hint="eastAsia" w:ascii="宋体" w:hAnsi="宋体" w:eastAsia="宋体" w:cs="宋体"/>
                <w:kern w:val="0"/>
                <w:sz w:val="20"/>
                <w:szCs w:val="20"/>
              </w:rPr>
            </w:pPr>
            <w:r>
              <w:rPr>
                <w:rFonts w:hint="eastAsia" w:ascii="宋体" w:hAnsi="宋体" w:eastAsia="宋体" w:cs="宋体"/>
                <w:kern w:val="0"/>
                <w:sz w:val="20"/>
                <w:szCs w:val="20"/>
              </w:rPr>
              <w:t>（1）按条件查询：可以根据年份、类别、级别、来源、部门、人员、状态等一个或多个条件查询，提供关键词模糊查询， 生成符合条件记录列表；</w:t>
            </w:r>
          </w:p>
          <w:p w14:paraId="621769A4">
            <w:pPr>
              <w:widowControl/>
              <w:rPr>
                <w:rFonts w:hint="eastAsia" w:ascii="宋体" w:hAnsi="宋体" w:eastAsia="宋体" w:cs="宋体"/>
                <w:kern w:val="0"/>
                <w:sz w:val="20"/>
                <w:szCs w:val="20"/>
              </w:rPr>
            </w:pPr>
            <w:r>
              <w:rPr>
                <w:rFonts w:hint="eastAsia" w:ascii="宋体" w:hAnsi="宋体" w:eastAsia="宋体" w:cs="宋体"/>
                <w:kern w:val="0"/>
                <w:sz w:val="20"/>
                <w:szCs w:val="20"/>
              </w:rPr>
              <w:t>（2）电子档案管理：对每个课题给定档案号，实施“一课题、一档案”管理，电子档案管理课题全过程信息，提供档案状态设置、电子档案打印；</w:t>
            </w:r>
          </w:p>
          <w:p w14:paraId="373CA11B">
            <w:pPr>
              <w:widowControl/>
              <w:rPr>
                <w:rFonts w:hint="eastAsia" w:ascii="宋体" w:hAnsi="宋体" w:eastAsia="宋体" w:cs="宋体"/>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部门课题</w:t>
            </w:r>
            <w:r>
              <w:rPr>
                <w:rFonts w:hint="eastAsia" w:ascii="宋体" w:hAnsi="宋体" w:eastAsia="宋体" w:cs="宋体"/>
                <w:kern w:val="0"/>
                <w:sz w:val="20"/>
                <w:szCs w:val="20"/>
              </w:rPr>
              <w:t>查询：针对部门承担的课题，可以根据年份、类别、级别、来源、人员、状态等一个或多个条件查询，提供关键词模糊查询，生成符合条件记录列表；实行电子档案管理；对每个课题给定档案号，实施“一课题、一档案”管理，电子档案管理课题全过程信息，提供档案状态设置、电子档案打印；</w:t>
            </w:r>
          </w:p>
          <w:p w14:paraId="2BFD4B32">
            <w:pPr>
              <w:widowControl/>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我的课题</w:t>
            </w:r>
            <w:r>
              <w:rPr>
                <w:rFonts w:hint="eastAsia" w:ascii="宋体" w:hAnsi="宋体" w:eastAsia="宋体" w:cs="宋体"/>
                <w:kern w:val="0"/>
                <w:sz w:val="20"/>
                <w:szCs w:val="20"/>
              </w:rPr>
              <w:t>查询：针对个人主持的课题，可以根据年份条件查询，生成符合条件记录列表；实行电子档案管理；对每个课题给定档案号，实施“一课题、一档案”管理，电子档案管理课题全过程信息，提供档案状态设置、电子档案打印。</w:t>
            </w:r>
          </w:p>
          <w:p w14:paraId="2F3A9475">
            <w:pPr>
              <w:widowControl/>
              <w:rPr>
                <w:rFonts w:hint="eastAsia" w:ascii="宋体" w:hAnsi="宋体" w:eastAsia="宋体" w:cs="宋体"/>
                <w:kern w:val="0"/>
                <w:sz w:val="20"/>
                <w:szCs w:val="20"/>
              </w:rPr>
            </w:pPr>
            <w:r>
              <w:rPr>
                <w:rFonts w:hint="eastAsia" w:ascii="宋体" w:hAnsi="宋体" w:eastAsia="宋体" w:cs="宋体"/>
                <w:kern w:val="0"/>
                <w:sz w:val="20"/>
                <w:szCs w:val="20"/>
              </w:rPr>
              <w:t>（5）参与课题查询：针对个人参与的课题，需要由课题负责人邀请，同意后才能参加；同类课题主持、参与设置限项；可以根据年份条件查询，生成符合条件记录列表；实行电子档案管理；对每个课题给定档案号，实施“一课题、一档案”管理，电子档案管理课题全过程信息，提供档案状态设置、电子档案打印。</w:t>
            </w:r>
          </w:p>
        </w:tc>
        <w:tc>
          <w:tcPr>
            <w:tcW w:w="265" w:type="pct"/>
            <w:tcBorders>
              <w:top w:val="nil"/>
              <w:left w:val="nil"/>
              <w:bottom w:val="single" w:color="auto" w:sz="4" w:space="0"/>
              <w:right w:val="single" w:color="auto" w:sz="4" w:space="0"/>
            </w:tcBorders>
            <w:shd w:val="clear" w:color="auto" w:fill="auto"/>
            <w:vAlign w:val="center"/>
          </w:tcPr>
          <w:p w14:paraId="755E176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35B5C96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19FB4F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1B9F9A5">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51DE040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581" w:type="pct"/>
            <w:tcBorders>
              <w:top w:val="nil"/>
              <w:left w:val="nil"/>
              <w:bottom w:val="single" w:color="auto" w:sz="4" w:space="0"/>
              <w:right w:val="single" w:color="auto" w:sz="4" w:space="0"/>
            </w:tcBorders>
            <w:shd w:val="clear" w:color="auto" w:fill="auto"/>
            <w:vAlign w:val="center"/>
          </w:tcPr>
          <w:p w14:paraId="4D4C624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项目管理</w:t>
            </w:r>
          </w:p>
        </w:tc>
        <w:tc>
          <w:tcPr>
            <w:tcW w:w="3099" w:type="pct"/>
            <w:tcBorders>
              <w:top w:val="nil"/>
              <w:left w:val="nil"/>
              <w:bottom w:val="single" w:color="auto" w:sz="4" w:space="0"/>
              <w:right w:val="single" w:color="auto" w:sz="4" w:space="0"/>
            </w:tcBorders>
            <w:shd w:val="clear" w:color="auto" w:fill="auto"/>
            <w:vAlign w:val="center"/>
          </w:tcPr>
          <w:p w14:paraId="0663BF7A">
            <w:pPr>
              <w:widowControl/>
              <w:rPr>
                <w:rFonts w:hint="eastAsia" w:ascii="宋体" w:hAnsi="宋体" w:eastAsia="宋体" w:cs="宋体"/>
                <w:kern w:val="0"/>
                <w:sz w:val="20"/>
                <w:szCs w:val="20"/>
              </w:rPr>
            </w:pPr>
            <w:r>
              <w:rPr>
                <w:rFonts w:hint="eastAsia" w:ascii="宋体" w:hAnsi="宋体" w:eastAsia="宋体" w:cs="宋体"/>
                <w:kern w:val="0"/>
                <w:sz w:val="20"/>
                <w:szCs w:val="20"/>
              </w:rPr>
              <w:t>1.项目立项:</w:t>
            </w:r>
          </w:p>
          <w:p w14:paraId="3BB551D6">
            <w:pPr>
              <w:widowControl/>
              <w:rPr>
                <w:rFonts w:hint="eastAsia" w:ascii="宋体" w:hAnsi="宋体" w:eastAsia="宋体" w:cs="宋体"/>
                <w:kern w:val="0"/>
                <w:sz w:val="20"/>
                <w:szCs w:val="20"/>
              </w:rPr>
            </w:pPr>
            <w:r>
              <w:rPr>
                <w:rFonts w:hint="eastAsia" w:ascii="宋体" w:hAnsi="宋体" w:eastAsia="宋体" w:cs="宋体"/>
                <w:kern w:val="0"/>
                <w:sz w:val="20"/>
                <w:szCs w:val="20"/>
              </w:rPr>
              <w:t>（1）评审立项转存：根据网评结果，直接“一键转存”进入课题库；</w:t>
            </w:r>
          </w:p>
          <w:p w14:paraId="36114028">
            <w:pPr>
              <w:widowControl/>
              <w:rPr>
                <w:rFonts w:hint="eastAsia" w:ascii="宋体" w:hAnsi="宋体" w:eastAsia="宋体" w:cs="宋体"/>
                <w:kern w:val="0"/>
                <w:sz w:val="20"/>
                <w:szCs w:val="20"/>
              </w:rPr>
            </w:pPr>
            <w:r>
              <w:rPr>
                <w:rFonts w:hint="eastAsia" w:ascii="宋体" w:hAnsi="宋体" w:eastAsia="宋体" w:cs="宋体"/>
                <w:kern w:val="0"/>
                <w:sz w:val="20"/>
                <w:szCs w:val="20"/>
              </w:rPr>
              <w:t>（2）登记审批入库：对立项后的进行项目登记管理。项目信息主要包括基本信息、项目成员、项目文档、项目预算、成果、到账经费等信息；</w:t>
            </w:r>
          </w:p>
          <w:p w14:paraId="4ED707F6">
            <w:pPr>
              <w:widowControl/>
              <w:rPr>
                <w:rFonts w:hint="eastAsia" w:ascii="宋体" w:hAnsi="宋体" w:eastAsia="宋体" w:cs="宋体"/>
                <w:kern w:val="0"/>
                <w:sz w:val="20"/>
                <w:szCs w:val="20"/>
              </w:rPr>
            </w:pPr>
            <w:r>
              <w:rPr>
                <w:rFonts w:hint="eastAsia" w:ascii="宋体" w:hAnsi="宋体" w:eastAsia="宋体" w:cs="宋体"/>
                <w:kern w:val="0"/>
                <w:sz w:val="20"/>
                <w:szCs w:val="20"/>
              </w:rPr>
              <w:t>（3）分级分类管理：提供不同类别、不同业务部门按权限分配查询菜单；</w:t>
            </w:r>
          </w:p>
          <w:p w14:paraId="2A594282">
            <w:pPr>
              <w:widowControl/>
              <w:rPr>
                <w:rFonts w:hint="eastAsia" w:ascii="宋体" w:hAnsi="宋体" w:eastAsia="宋体" w:cs="宋体"/>
                <w:kern w:val="0"/>
                <w:sz w:val="20"/>
                <w:szCs w:val="20"/>
              </w:rPr>
            </w:pPr>
            <w:r>
              <w:rPr>
                <w:rFonts w:hint="eastAsia" w:ascii="宋体" w:hAnsi="宋体" w:eastAsia="宋体" w:cs="宋体"/>
                <w:kern w:val="0"/>
                <w:sz w:val="20"/>
                <w:szCs w:val="20"/>
              </w:rPr>
              <w:t>2.过程管理:</w:t>
            </w:r>
          </w:p>
          <w:p w14:paraId="3D593C69">
            <w:pPr>
              <w:widowControl/>
              <w:rPr>
                <w:rFonts w:hint="eastAsia" w:ascii="宋体" w:hAnsi="宋体" w:eastAsia="宋体" w:cs="宋体"/>
                <w:kern w:val="0"/>
                <w:sz w:val="20"/>
                <w:szCs w:val="20"/>
              </w:rPr>
            </w:pPr>
            <w:r>
              <w:rPr>
                <w:rFonts w:hint="eastAsia" w:ascii="宋体" w:hAnsi="宋体" w:eastAsia="宋体" w:cs="宋体"/>
                <w:kern w:val="0"/>
                <w:sz w:val="20"/>
                <w:szCs w:val="20"/>
              </w:rPr>
              <w:t>（1）项目文件：项目在研阶段，上传过程中产生的文档。文档经负责老师审核后不能修改。文档包括研究报告、项目可行性分析、申请书、任务书、合同书、过程文档、中检报告、 结题报告等；</w:t>
            </w:r>
          </w:p>
          <w:p w14:paraId="236F510D">
            <w:pPr>
              <w:widowControl/>
              <w:rPr>
                <w:rFonts w:hint="eastAsia" w:ascii="宋体" w:hAnsi="宋体" w:eastAsia="宋体" w:cs="宋体"/>
                <w:kern w:val="0"/>
                <w:sz w:val="20"/>
                <w:szCs w:val="20"/>
              </w:rPr>
            </w:pPr>
            <w:r>
              <w:rPr>
                <w:rFonts w:hint="eastAsia" w:ascii="宋体" w:hAnsi="宋体" w:eastAsia="宋体" w:cs="宋体"/>
                <w:kern w:val="0"/>
                <w:sz w:val="20"/>
                <w:szCs w:val="20"/>
              </w:rPr>
              <w:t>（2）项目中检：根据项目进展情况，项目管理员可以对项目组织中检。中检方式按照项目编号、项目类别来检查，科研人员提供项目中检报告由科研处审核。项目管理员建立中检批次，科研人员填写项目中检需要提供的材料，将项目提交到管理部门依次审核，管理人员可根据项目类型、项目负责单位、中检项目名称进行查询；</w:t>
            </w:r>
          </w:p>
          <w:p w14:paraId="00852F73">
            <w:pPr>
              <w:widowControl/>
              <w:rPr>
                <w:rFonts w:hint="eastAsia" w:ascii="宋体" w:hAnsi="宋体" w:eastAsia="宋体" w:cs="宋体"/>
                <w:kern w:val="0"/>
                <w:sz w:val="20"/>
                <w:szCs w:val="20"/>
              </w:rPr>
            </w:pPr>
            <w:r>
              <w:rPr>
                <w:rFonts w:hint="eastAsia" w:ascii="宋体" w:hAnsi="宋体" w:eastAsia="宋体" w:cs="宋体"/>
                <w:kern w:val="0"/>
                <w:sz w:val="20"/>
                <w:szCs w:val="20"/>
              </w:rPr>
              <w:t>（3）项目变更：在项目管理过程中，可能需要对项目的相关信息发生变更。项目负责人可以对立项信息、项目成员、项目预算等信息提出项目变更申请，项目管理员对变更申请审查后，批准变更。系统会自动记录所有变更的内容；</w:t>
            </w:r>
          </w:p>
          <w:p w14:paraId="107A0C72">
            <w:pPr>
              <w:widowControl/>
              <w:rPr>
                <w:rFonts w:hint="eastAsia" w:ascii="宋体" w:hAnsi="宋体" w:eastAsia="宋体" w:cs="宋体"/>
                <w:kern w:val="0"/>
                <w:sz w:val="20"/>
                <w:szCs w:val="20"/>
              </w:rPr>
            </w:pPr>
            <w:r>
              <w:rPr>
                <w:rFonts w:hint="eastAsia" w:ascii="宋体" w:hAnsi="宋体" w:eastAsia="宋体" w:cs="宋体"/>
                <w:kern w:val="0"/>
                <w:sz w:val="20"/>
                <w:szCs w:val="20"/>
              </w:rPr>
              <w:t>（4）项目结题：系统会自动提醒需要结题的项目，项目管理员需要组织项目结题。项目负责人提供项目相关成果鉴定书等材料，提交项目结题申请进行审核通过后自动转入已结题项目列表，提供查询导入功能。</w:t>
            </w:r>
          </w:p>
          <w:p w14:paraId="353C37B3">
            <w:pPr>
              <w:widowControl/>
              <w:rPr>
                <w:rFonts w:hint="eastAsia" w:ascii="宋体" w:hAnsi="宋体" w:eastAsia="宋体" w:cs="宋体"/>
                <w:kern w:val="0"/>
                <w:sz w:val="20"/>
                <w:szCs w:val="20"/>
              </w:rPr>
            </w:pPr>
            <w:r>
              <w:rPr>
                <w:rFonts w:hint="eastAsia" w:ascii="宋体" w:hAnsi="宋体" w:eastAsia="宋体" w:cs="宋体"/>
                <w:kern w:val="0"/>
                <w:sz w:val="20"/>
                <w:szCs w:val="20"/>
              </w:rPr>
              <w:t>（5）过程预警：提供待办预警和过期警告两类信息提示和推送。</w:t>
            </w:r>
          </w:p>
        </w:tc>
        <w:tc>
          <w:tcPr>
            <w:tcW w:w="265" w:type="pct"/>
            <w:tcBorders>
              <w:top w:val="nil"/>
              <w:left w:val="nil"/>
              <w:bottom w:val="single" w:color="auto" w:sz="4" w:space="0"/>
              <w:right w:val="single" w:color="auto" w:sz="4" w:space="0"/>
            </w:tcBorders>
            <w:shd w:val="clear" w:color="auto" w:fill="auto"/>
            <w:vAlign w:val="center"/>
          </w:tcPr>
          <w:p w14:paraId="62319B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2428E69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50233520">
            <w:pPr>
              <w:widowControl/>
              <w:jc w:val="center"/>
              <w:rPr>
                <w:rFonts w:hint="eastAsia" w:ascii="宋体" w:hAnsi="宋体" w:eastAsia="宋体" w:cs="宋体"/>
                <w:kern w:val="0"/>
                <w:sz w:val="20"/>
                <w:szCs w:val="20"/>
              </w:rPr>
            </w:pPr>
          </w:p>
        </w:tc>
      </w:tr>
      <w:tr w14:paraId="46678524">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06AB13C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581" w:type="pct"/>
            <w:tcBorders>
              <w:top w:val="nil"/>
              <w:left w:val="nil"/>
              <w:bottom w:val="single" w:color="auto" w:sz="4" w:space="0"/>
              <w:right w:val="single" w:color="auto" w:sz="4" w:space="0"/>
            </w:tcBorders>
            <w:shd w:val="clear" w:color="auto" w:fill="auto"/>
            <w:vAlign w:val="center"/>
          </w:tcPr>
          <w:p w14:paraId="6C233F7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评审管理</w:t>
            </w:r>
          </w:p>
        </w:tc>
        <w:tc>
          <w:tcPr>
            <w:tcW w:w="3099" w:type="pct"/>
            <w:tcBorders>
              <w:top w:val="nil"/>
              <w:left w:val="nil"/>
              <w:bottom w:val="single" w:color="auto" w:sz="4" w:space="0"/>
              <w:right w:val="single" w:color="auto" w:sz="4" w:space="0"/>
            </w:tcBorders>
            <w:shd w:val="clear" w:color="auto" w:fill="auto"/>
            <w:vAlign w:val="center"/>
          </w:tcPr>
          <w:p w14:paraId="1F46A794">
            <w:pPr>
              <w:widowControl/>
              <w:numPr>
                <w:ilvl w:val="0"/>
                <w:numId w:val="2"/>
              </w:numPr>
              <w:rPr>
                <w:rFonts w:hint="eastAsia" w:ascii="宋体" w:hAnsi="宋体" w:eastAsia="宋体" w:cs="宋体"/>
                <w:kern w:val="0"/>
                <w:sz w:val="20"/>
                <w:szCs w:val="20"/>
              </w:rPr>
            </w:pPr>
            <w:r>
              <w:rPr>
                <w:rFonts w:hint="eastAsia" w:ascii="宋体" w:hAnsi="宋体" w:eastAsia="宋体" w:cs="宋体"/>
                <w:kern w:val="0"/>
                <w:sz w:val="20"/>
                <w:szCs w:val="20"/>
              </w:rPr>
              <w:t>网评计划：</w:t>
            </w:r>
          </w:p>
          <w:p w14:paraId="7497893E">
            <w:pPr>
              <w:widowControl/>
              <w:ind w:left="216"/>
              <w:rPr>
                <w:rFonts w:hint="eastAsia" w:ascii="宋体" w:hAnsi="宋体" w:eastAsia="宋体" w:cs="宋体"/>
                <w:kern w:val="0"/>
                <w:sz w:val="20"/>
                <w:szCs w:val="20"/>
              </w:rPr>
            </w:pPr>
            <w:r>
              <w:rPr>
                <w:rFonts w:hint="eastAsia" w:ascii="宋体" w:hAnsi="宋体" w:eastAsia="宋体" w:cs="宋体"/>
                <w:kern w:val="0"/>
                <w:sz w:val="20"/>
                <w:szCs w:val="20"/>
              </w:rPr>
              <w:t>增加每个网评的计划信息，包括：评审任务名称、类别、评审启始时间（申报截止时间）、评审结束时间、限项申报数等。提供按照网评计划进行网评结果的下载。网评计划列表中可直观的显示每条评审任务名称、评审开始时间（申报截止时间）、评审结束时间、课题分类、评审进度、评审记录、操作记录、记录入库时间等。提供参评课题，专家设置菜单跳转。</w:t>
            </w:r>
          </w:p>
          <w:p w14:paraId="7478FD5E">
            <w:pPr>
              <w:widowControl/>
              <w:numPr>
                <w:ilvl w:val="0"/>
                <w:numId w:val="2"/>
              </w:numPr>
              <w:rPr>
                <w:rFonts w:hint="eastAsia" w:ascii="宋体" w:hAnsi="宋体" w:eastAsia="宋体" w:cs="宋体"/>
                <w:kern w:val="0"/>
                <w:sz w:val="20"/>
                <w:szCs w:val="20"/>
              </w:rPr>
            </w:pPr>
            <w:r>
              <w:rPr>
                <w:rFonts w:hint="eastAsia" w:ascii="宋体" w:hAnsi="宋体" w:eastAsia="宋体" w:cs="宋体"/>
                <w:kern w:val="0"/>
                <w:sz w:val="20"/>
                <w:szCs w:val="20"/>
              </w:rPr>
              <w:t>网评项目：</w:t>
            </w:r>
          </w:p>
          <w:p w14:paraId="609CE413">
            <w:pPr>
              <w:widowControl/>
              <w:ind w:left="216"/>
              <w:rPr>
                <w:rFonts w:hint="eastAsia" w:ascii="宋体" w:hAnsi="宋体" w:eastAsia="宋体" w:cs="宋体"/>
                <w:kern w:val="0"/>
                <w:sz w:val="20"/>
                <w:szCs w:val="20"/>
              </w:rPr>
            </w:pPr>
            <w:r>
              <w:rPr>
                <w:rFonts w:hint="eastAsia" w:ascii="宋体" w:hAnsi="宋体" w:eastAsia="宋体" w:cs="宋体"/>
                <w:kern w:val="0"/>
                <w:sz w:val="20"/>
                <w:szCs w:val="20"/>
              </w:rPr>
              <w:t>能够新增、修改、删除课题。提供上传申报文件和分组评审，能实时统计评审结果；根据网评结果，直接“一键转存”进入课题库。</w:t>
            </w:r>
          </w:p>
          <w:p w14:paraId="7DE6A083">
            <w:pPr>
              <w:widowControl/>
              <w:numPr>
                <w:ilvl w:val="0"/>
                <w:numId w:val="2"/>
              </w:numPr>
              <w:rPr>
                <w:rFonts w:hint="eastAsia" w:ascii="宋体" w:hAnsi="宋体" w:eastAsia="宋体" w:cs="宋体"/>
                <w:kern w:val="0"/>
                <w:sz w:val="20"/>
                <w:szCs w:val="20"/>
              </w:rPr>
            </w:pPr>
            <w:r>
              <w:rPr>
                <w:rFonts w:hint="eastAsia" w:ascii="宋体" w:hAnsi="宋体" w:eastAsia="宋体" w:cs="宋体"/>
                <w:kern w:val="0"/>
                <w:sz w:val="20"/>
                <w:szCs w:val="20"/>
              </w:rPr>
              <w:t>网评专家：</w:t>
            </w:r>
          </w:p>
          <w:p w14:paraId="13A8CC36">
            <w:pPr>
              <w:widowControl/>
              <w:ind w:left="216"/>
              <w:rPr>
                <w:rFonts w:hint="eastAsia" w:ascii="宋体" w:hAnsi="宋体" w:eastAsia="宋体" w:cs="宋体"/>
                <w:kern w:val="0"/>
                <w:sz w:val="20"/>
                <w:szCs w:val="20"/>
              </w:rPr>
            </w:pPr>
            <w:r>
              <w:rPr>
                <w:rFonts w:hint="eastAsia" w:ascii="宋体" w:hAnsi="宋体" w:eastAsia="宋体" w:cs="宋体"/>
                <w:kern w:val="0"/>
                <w:sz w:val="20"/>
                <w:szCs w:val="20"/>
              </w:rPr>
              <w:t>专家遴选功能体现在各类评审环节中，系统提供按照条件筛选专家或人工选择专家的方式。提供批量选择评审专家，提供专家分组；提供评审专家信息的 EXCEL导出。</w:t>
            </w:r>
          </w:p>
          <w:p w14:paraId="4DAEE897">
            <w:pPr>
              <w:widowControl/>
              <w:numPr>
                <w:ilvl w:val="0"/>
                <w:numId w:val="2"/>
              </w:numPr>
              <w:rPr>
                <w:rFonts w:hint="eastAsia" w:ascii="宋体" w:hAnsi="宋体" w:eastAsia="宋体" w:cs="宋体"/>
                <w:color w:val="000000"/>
                <w:sz w:val="20"/>
                <w:szCs w:val="20"/>
              </w:rPr>
            </w:pPr>
            <w:r>
              <w:rPr>
                <w:rFonts w:ascii="宋体" w:hAnsi="宋体" w:eastAsia="宋体" w:cs="宋体"/>
                <w:color w:val="000000"/>
                <w:sz w:val="20"/>
                <w:szCs w:val="20"/>
              </w:rPr>
              <w:t>形式审查：</w:t>
            </w:r>
          </w:p>
          <w:p w14:paraId="4A1DD2CE">
            <w:pPr>
              <w:widowControl/>
              <w:ind w:left="216"/>
              <w:rPr>
                <w:rFonts w:hint="eastAsia" w:ascii="宋体" w:hAnsi="宋体" w:eastAsia="宋体" w:cs="宋体"/>
                <w:color w:val="000000"/>
                <w:sz w:val="20"/>
                <w:szCs w:val="20"/>
              </w:rPr>
            </w:pPr>
            <w:r>
              <w:rPr>
                <w:rFonts w:ascii="宋体" w:hAnsi="宋体" w:eastAsia="宋体" w:cs="宋体"/>
                <w:color w:val="000000"/>
                <w:sz w:val="20"/>
                <w:szCs w:val="20"/>
              </w:rPr>
              <w:t>支持对申报上传的论证活页进行形式审查，并反馈形式审查结果给申报用户。</w:t>
            </w:r>
          </w:p>
          <w:p w14:paraId="752CFC87">
            <w:pPr>
              <w:widowControl/>
              <w:numPr>
                <w:ilvl w:val="0"/>
                <w:numId w:val="2"/>
              </w:numPr>
              <w:rPr>
                <w:rFonts w:hint="eastAsia" w:ascii="宋体" w:hAnsi="宋体" w:eastAsia="宋体" w:cs="宋体"/>
                <w:color w:val="000000"/>
                <w:sz w:val="20"/>
                <w:szCs w:val="20"/>
              </w:rPr>
            </w:pPr>
            <w:r>
              <w:rPr>
                <w:rFonts w:ascii="宋体" w:hAnsi="宋体" w:eastAsia="宋体" w:cs="宋体"/>
                <w:color w:val="000000"/>
                <w:sz w:val="20"/>
                <w:szCs w:val="20"/>
              </w:rPr>
              <w:t>网评任务：</w:t>
            </w:r>
          </w:p>
          <w:p w14:paraId="59E0C31F">
            <w:pPr>
              <w:widowControl/>
              <w:ind w:left="216"/>
              <w:rPr>
                <w:rFonts w:hint="eastAsia" w:ascii="宋体" w:hAnsi="宋体" w:eastAsia="宋体" w:cs="宋体"/>
                <w:color w:val="000000"/>
                <w:sz w:val="20"/>
                <w:szCs w:val="20"/>
              </w:rPr>
            </w:pPr>
            <w:r>
              <w:rPr>
                <w:rFonts w:ascii="宋体" w:hAnsi="宋体" w:eastAsia="宋体" w:cs="宋体"/>
                <w:color w:val="000000"/>
                <w:sz w:val="20"/>
                <w:szCs w:val="20"/>
              </w:rPr>
              <w:t>针对专家用户列出授权的网评任务，能够阅读申报的相关材料，可填写评审意见、评分。支持电子签名，支持查看历史评审记录。</w:t>
            </w:r>
          </w:p>
          <w:p w14:paraId="1EAA74AD">
            <w:pPr>
              <w:widowControl/>
              <w:numPr>
                <w:ilvl w:val="0"/>
                <w:numId w:val="2"/>
              </w:numPr>
              <w:rPr>
                <w:rFonts w:hint="eastAsia" w:ascii="宋体" w:hAnsi="宋体" w:eastAsia="宋体" w:cs="宋体"/>
                <w:color w:val="000000"/>
                <w:sz w:val="20"/>
                <w:szCs w:val="20"/>
              </w:rPr>
            </w:pPr>
            <w:r>
              <w:rPr>
                <w:rFonts w:ascii="宋体" w:hAnsi="宋体" w:eastAsia="宋体" w:cs="宋体"/>
                <w:color w:val="000000"/>
                <w:sz w:val="20"/>
                <w:szCs w:val="20"/>
              </w:rPr>
              <w:t>专家意见：</w:t>
            </w:r>
          </w:p>
          <w:p w14:paraId="0C4AC05B">
            <w:pPr>
              <w:widowControl/>
              <w:ind w:left="216"/>
              <w:rPr>
                <w:rFonts w:hint="eastAsia" w:ascii="宋体" w:hAnsi="宋体" w:eastAsia="宋体" w:cs="宋体"/>
                <w:color w:val="000000"/>
                <w:sz w:val="20"/>
                <w:szCs w:val="20"/>
              </w:rPr>
            </w:pPr>
            <w:r>
              <w:rPr>
                <w:rFonts w:ascii="宋体" w:hAnsi="宋体" w:eastAsia="宋体" w:cs="宋体"/>
                <w:color w:val="000000"/>
                <w:sz w:val="20"/>
                <w:szCs w:val="20"/>
              </w:rPr>
              <w:t>课题申报用户能够查阅专家评审意见及评审的最终结果。</w:t>
            </w:r>
          </w:p>
          <w:p w14:paraId="2AC21CAE">
            <w:pPr>
              <w:widowControl/>
              <w:numPr>
                <w:ilvl w:val="0"/>
                <w:numId w:val="2"/>
              </w:numPr>
              <w:rPr>
                <w:rFonts w:hint="eastAsia" w:ascii="宋体" w:hAnsi="宋体" w:eastAsia="宋体" w:cs="宋体"/>
                <w:kern w:val="0"/>
                <w:sz w:val="20"/>
                <w:szCs w:val="20"/>
              </w:rPr>
            </w:pPr>
            <w:r>
              <w:rPr>
                <w:rFonts w:hint="eastAsia" w:ascii="宋体" w:hAnsi="宋体" w:eastAsia="宋体" w:cs="宋体"/>
                <w:kern w:val="0"/>
                <w:sz w:val="20"/>
                <w:szCs w:val="20"/>
              </w:rPr>
              <w:t>网评记录：</w:t>
            </w:r>
          </w:p>
          <w:p w14:paraId="73D30CD5">
            <w:pPr>
              <w:widowControl/>
              <w:ind w:left="216"/>
              <w:rPr>
                <w:rFonts w:hint="eastAsia" w:ascii="宋体" w:hAnsi="宋体" w:eastAsia="宋体" w:cs="宋体"/>
                <w:kern w:val="0"/>
                <w:sz w:val="20"/>
                <w:szCs w:val="20"/>
              </w:rPr>
            </w:pPr>
            <w:r>
              <w:rPr>
                <w:rFonts w:hint="eastAsia" w:ascii="宋体" w:hAnsi="宋体" w:eastAsia="宋体" w:cs="宋体"/>
                <w:kern w:val="0"/>
                <w:sz w:val="20"/>
                <w:szCs w:val="20"/>
              </w:rPr>
              <w:t>评审专家可以查询评审计划中自己评审的历史记录数据。</w:t>
            </w:r>
          </w:p>
          <w:p w14:paraId="02A04E7B">
            <w:pPr>
              <w:widowControl/>
              <w:numPr>
                <w:ilvl w:val="0"/>
                <w:numId w:val="2"/>
              </w:numPr>
              <w:rPr>
                <w:rFonts w:hint="eastAsia" w:ascii="宋体" w:hAnsi="宋体" w:eastAsia="宋体" w:cs="宋体"/>
                <w:kern w:val="0"/>
                <w:sz w:val="20"/>
                <w:szCs w:val="20"/>
              </w:rPr>
            </w:pPr>
            <w:r>
              <w:rPr>
                <w:rFonts w:hint="eastAsia" w:ascii="宋体" w:hAnsi="宋体" w:eastAsia="宋体" w:cs="宋体"/>
                <w:kern w:val="0"/>
                <w:sz w:val="20"/>
                <w:szCs w:val="20"/>
              </w:rPr>
              <w:t>评审过程：</w:t>
            </w:r>
          </w:p>
          <w:p w14:paraId="5AEF64FA">
            <w:pPr>
              <w:widowControl/>
              <w:rPr>
                <w:rFonts w:hint="eastAsia" w:ascii="宋体" w:hAnsi="宋体" w:eastAsia="宋体" w:cs="宋体"/>
                <w:kern w:val="0"/>
                <w:sz w:val="20"/>
                <w:szCs w:val="20"/>
              </w:rPr>
            </w:pPr>
            <w:r>
              <w:rPr>
                <w:rFonts w:hint="eastAsia" w:ascii="宋体" w:hAnsi="宋体" w:eastAsia="宋体" w:cs="宋体"/>
                <w:kern w:val="0"/>
                <w:sz w:val="20"/>
                <w:szCs w:val="20"/>
              </w:rPr>
              <w:t>实时显示评审专家完成情况。</w:t>
            </w:r>
          </w:p>
        </w:tc>
        <w:tc>
          <w:tcPr>
            <w:tcW w:w="265" w:type="pct"/>
            <w:tcBorders>
              <w:top w:val="nil"/>
              <w:left w:val="nil"/>
              <w:bottom w:val="single" w:color="auto" w:sz="4" w:space="0"/>
              <w:right w:val="single" w:color="auto" w:sz="4" w:space="0"/>
            </w:tcBorders>
            <w:shd w:val="clear" w:color="auto" w:fill="auto"/>
            <w:vAlign w:val="center"/>
          </w:tcPr>
          <w:p w14:paraId="2D01AFA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34BD5D0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5FA7E0CA">
            <w:pPr>
              <w:widowControl/>
              <w:jc w:val="center"/>
              <w:rPr>
                <w:rFonts w:hint="eastAsia" w:ascii="宋体" w:hAnsi="宋体" w:eastAsia="宋体" w:cs="宋体"/>
                <w:kern w:val="0"/>
                <w:sz w:val="20"/>
                <w:szCs w:val="20"/>
              </w:rPr>
            </w:pPr>
          </w:p>
        </w:tc>
      </w:tr>
      <w:tr w14:paraId="72A624C7">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0C6B952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581" w:type="pct"/>
            <w:tcBorders>
              <w:top w:val="nil"/>
              <w:left w:val="nil"/>
              <w:bottom w:val="single" w:color="auto" w:sz="4" w:space="0"/>
              <w:right w:val="single" w:color="auto" w:sz="4" w:space="0"/>
            </w:tcBorders>
            <w:shd w:val="clear" w:color="auto" w:fill="auto"/>
            <w:vAlign w:val="center"/>
          </w:tcPr>
          <w:p w14:paraId="164632F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经费管理</w:t>
            </w:r>
          </w:p>
        </w:tc>
        <w:tc>
          <w:tcPr>
            <w:tcW w:w="3099" w:type="pct"/>
            <w:tcBorders>
              <w:top w:val="nil"/>
              <w:left w:val="nil"/>
              <w:bottom w:val="single" w:color="auto" w:sz="4" w:space="0"/>
              <w:right w:val="single" w:color="auto" w:sz="4" w:space="0"/>
            </w:tcBorders>
            <w:shd w:val="clear" w:color="auto" w:fill="auto"/>
            <w:vAlign w:val="center"/>
          </w:tcPr>
          <w:p w14:paraId="1E1EFFBC">
            <w:pPr>
              <w:widowControl/>
              <w:rPr>
                <w:rFonts w:hint="eastAsia" w:ascii="宋体" w:hAnsi="宋体" w:eastAsia="宋体" w:cs="宋体"/>
                <w:b/>
                <w:bCs/>
                <w:kern w:val="0"/>
                <w:sz w:val="20"/>
                <w:szCs w:val="20"/>
              </w:rPr>
            </w:pPr>
            <w:r>
              <w:rPr>
                <w:rFonts w:hint="eastAsia" w:ascii="宋体" w:hAnsi="宋体" w:eastAsia="宋体" w:cs="宋体"/>
                <w:kern w:val="0"/>
                <w:sz w:val="20"/>
                <w:szCs w:val="20"/>
              </w:rPr>
              <w:t>1.经费总揽：</w:t>
            </w:r>
          </w:p>
          <w:p w14:paraId="26459163">
            <w:pPr>
              <w:widowControl/>
              <w:rPr>
                <w:rFonts w:hint="eastAsia" w:ascii="宋体" w:hAnsi="宋体" w:eastAsia="宋体" w:cs="宋体"/>
                <w:b/>
                <w:bCs/>
                <w:kern w:val="0"/>
                <w:sz w:val="20"/>
                <w:szCs w:val="20"/>
              </w:rPr>
            </w:pPr>
            <w:r>
              <w:rPr>
                <w:rFonts w:hint="eastAsia" w:ascii="宋体" w:hAnsi="宋体" w:eastAsia="宋体" w:cs="宋体"/>
                <w:kern w:val="0"/>
                <w:sz w:val="20"/>
                <w:szCs w:val="20"/>
              </w:rPr>
              <w:t>可按年度查询资助经费总额，构成比例，支出总额及支比例，可根据课题名称、类型、部门、个人姓名等条件查询生成列表。</w:t>
            </w:r>
          </w:p>
          <w:p w14:paraId="55E73E62">
            <w:pPr>
              <w:widowControl/>
              <w:rPr>
                <w:rFonts w:hint="eastAsia"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w:t>
            </w:r>
            <w:r>
              <w:rPr>
                <w:rFonts w:hint="eastAsia" w:ascii="宋体" w:hAnsi="宋体" w:eastAsia="宋体" w:cs="宋体"/>
                <w:kern w:val="0"/>
                <w:sz w:val="20"/>
                <w:szCs w:val="20"/>
              </w:rPr>
              <w:t>经费预算:</w:t>
            </w:r>
          </w:p>
          <w:p w14:paraId="23511104">
            <w:pPr>
              <w:widowControl/>
              <w:rPr>
                <w:rFonts w:hint="eastAsia" w:ascii="宋体" w:hAnsi="宋体" w:eastAsia="宋体" w:cs="宋体"/>
                <w:kern w:val="0"/>
                <w:sz w:val="20"/>
                <w:szCs w:val="20"/>
              </w:rPr>
            </w:pPr>
            <w:r>
              <w:rPr>
                <w:rFonts w:hint="eastAsia" w:ascii="宋体" w:hAnsi="宋体" w:eastAsia="宋体" w:cs="宋体"/>
                <w:kern w:val="0"/>
                <w:sz w:val="20"/>
                <w:szCs w:val="20"/>
              </w:rPr>
              <w:t>（1）经费到账：科研项目的经费管理依据相应管理办法，清晰准确的进行经费到账的管理，实现各分支涉及的审批流程、数据交互、对照。经费到帐后，管理人员进行相应的登记和分配，系统可自动生成经费通知单并允许客户下载打印。系统可按项目、按到账年月生成各种经费到账统计表；</w:t>
            </w:r>
          </w:p>
          <w:p w14:paraId="78069101">
            <w:pPr>
              <w:widowControl/>
              <w:rPr>
                <w:rFonts w:hint="eastAsia" w:ascii="宋体" w:hAnsi="宋体" w:eastAsia="宋体" w:cs="宋体"/>
                <w:kern w:val="0"/>
                <w:sz w:val="20"/>
                <w:szCs w:val="20"/>
              </w:rPr>
            </w:pPr>
            <w:r>
              <w:rPr>
                <w:rFonts w:hint="eastAsia" w:ascii="宋体" w:hAnsi="宋体" w:eastAsia="宋体" w:cs="宋体"/>
                <w:kern w:val="0"/>
                <w:sz w:val="20"/>
                <w:szCs w:val="20"/>
              </w:rPr>
              <w:t>（2）预算编制：提供预算编制表格，根据学校文件要求设置编制约束条件，设置经费支出不超过预算或者设置一个科目的超支出百分比，支出控制在百分比范围内不超预算，可自动检测合格性；</w:t>
            </w:r>
          </w:p>
          <w:p w14:paraId="2EF5C94D">
            <w:pPr>
              <w:widowControl/>
              <w:rPr>
                <w:rFonts w:hint="eastAsia" w:ascii="宋体" w:hAnsi="宋体" w:eastAsia="宋体" w:cs="宋体"/>
                <w:kern w:val="0"/>
                <w:sz w:val="20"/>
                <w:szCs w:val="20"/>
              </w:rPr>
            </w:pPr>
            <w:r>
              <w:rPr>
                <w:rFonts w:hint="eastAsia" w:ascii="宋体" w:hAnsi="宋体" w:eastAsia="宋体" w:cs="宋体"/>
                <w:kern w:val="0"/>
                <w:sz w:val="20"/>
                <w:szCs w:val="20"/>
              </w:rPr>
              <w:t>（3）预算审核：提供首次审核，单项审核、批量审核及变更审核操作；</w:t>
            </w:r>
          </w:p>
          <w:p w14:paraId="26386538">
            <w:pPr>
              <w:widowControl/>
              <w:rPr>
                <w:rFonts w:hint="eastAsia" w:ascii="宋体" w:hAnsi="宋体" w:eastAsia="宋体" w:cs="宋体"/>
                <w:kern w:val="0"/>
                <w:sz w:val="20"/>
                <w:szCs w:val="20"/>
              </w:rPr>
            </w:pPr>
            <w:r>
              <w:rPr>
                <w:rFonts w:ascii="宋体" w:hAnsi="宋体" w:eastAsia="宋体" w:cs="宋体"/>
                <w:kern w:val="0"/>
                <w:sz w:val="20"/>
                <w:szCs w:val="20"/>
              </w:rPr>
              <w:t>3</w:t>
            </w:r>
            <w:r>
              <w:rPr>
                <w:rFonts w:hint="eastAsia" w:ascii="宋体" w:hAnsi="宋体" w:eastAsia="宋体" w:cs="宋体"/>
                <w:kern w:val="0"/>
                <w:sz w:val="20"/>
                <w:szCs w:val="20"/>
              </w:rPr>
              <w:t>.经费支出:</w:t>
            </w:r>
          </w:p>
          <w:p w14:paraId="5C8FCB71">
            <w:pPr>
              <w:widowControl/>
              <w:rPr>
                <w:rFonts w:hint="eastAsia" w:ascii="宋体" w:hAnsi="宋体" w:eastAsia="宋体" w:cs="宋体"/>
                <w:kern w:val="0"/>
                <w:sz w:val="20"/>
                <w:szCs w:val="20"/>
              </w:rPr>
            </w:pPr>
            <w:bookmarkStart w:id="1" w:name="_Hlk154582019"/>
            <w:r>
              <w:rPr>
                <w:rFonts w:hint="eastAsia" w:ascii="宋体" w:hAnsi="宋体" w:eastAsia="宋体" w:cs="宋体"/>
                <w:kern w:val="0"/>
                <w:sz w:val="20"/>
                <w:szCs w:val="20"/>
              </w:rPr>
              <w:t>（1）支出录入：经费的支出需根据预算的年度和科目进行支出，记录支出款项的支出金额、课题名称及批次，支出人、接受人和日期等，提供票据附件上传；</w:t>
            </w:r>
          </w:p>
          <w:p w14:paraId="137C8D70">
            <w:pPr>
              <w:widowControl/>
              <w:rPr>
                <w:rFonts w:hint="eastAsia" w:ascii="宋体" w:hAnsi="宋体" w:eastAsia="宋体" w:cs="宋体"/>
                <w:kern w:val="0"/>
                <w:sz w:val="20"/>
                <w:szCs w:val="20"/>
              </w:rPr>
            </w:pPr>
            <w:r>
              <w:rPr>
                <w:rFonts w:hint="eastAsia" w:ascii="宋体" w:hAnsi="宋体" w:eastAsia="宋体" w:cs="宋体"/>
                <w:kern w:val="0"/>
                <w:sz w:val="20"/>
                <w:szCs w:val="20"/>
              </w:rPr>
              <w:t>（2）支出审批：提供一次审批、二次审批功能；能对接财务报账号, 审批完成自动生成可以打印的审批单；</w:t>
            </w:r>
          </w:p>
          <w:p w14:paraId="2C4ABDEE">
            <w:pPr>
              <w:widowControl/>
              <w:rPr>
                <w:rFonts w:hint="eastAsia" w:ascii="宋体" w:hAnsi="宋体" w:eastAsia="宋体" w:cs="宋体"/>
                <w:kern w:val="0"/>
                <w:sz w:val="20"/>
                <w:szCs w:val="20"/>
              </w:rPr>
            </w:pPr>
            <w:r>
              <w:rPr>
                <w:rFonts w:hint="eastAsia" w:ascii="宋体" w:hAnsi="宋体" w:eastAsia="宋体" w:cs="宋体"/>
                <w:kern w:val="0"/>
                <w:sz w:val="20"/>
                <w:szCs w:val="20"/>
              </w:rPr>
              <w:t>（3）查询统计：提供经费统计的功能，并且经费统计可输入EXCEL表格中，方便数据的导入导出。能查看统计范围内所有款项的详细信息及在本范围内的支出金额总计，并且提供打印功能</w:t>
            </w:r>
            <w:bookmarkEnd w:id="1"/>
            <w:r>
              <w:rPr>
                <w:rFonts w:hint="eastAsia" w:ascii="宋体" w:hAnsi="宋体" w:eastAsia="宋体" w:cs="宋体"/>
                <w:kern w:val="0"/>
                <w:sz w:val="20"/>
                <w:szCs w:val="20"/>
              </w:rPr>
              <w:t>；</w:t>
            </w:r>
          </w:p>
          <w:p w14:paraId="4A652ECC">
            <w:pPr>
              <w:widowControl/>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w:t>
            </w:r>
            <w:r>
              <w:rPr>
                <w:rFonts w:hint="eastAsia" w:ascii="宋体" w:hAnsi="宋体" w:eastAsia="宋体" w:cs="宋体"/>
                <w:kern w:val="0"/>
                <w:sz w:val="20"/>
                <w:szCs w:val="20"/>
              </w:rPr>
              <w:t>经费报账:</w:t>
            </w:r>
          </w:p>
          <w:p w14:paraId="26C1320F">
            <w:pPr>
              <w:widowControl/>
              <w:rPr>
                <w:rFonts w:hint="eastAsia" w:ascii="宋体" w:hAnsi="宋体" w:eastAsia="宋体" w:cs="宋体"/>
                <w:kern w:val="0"/>
                <w:sz w:val="20"/>
                <w:szCs w:val="20"/>
              </w:rPr>
            </w:pPr>
            <w:r>
              <w:rPr>
                <w:rFonts w:hint="eastAsia" w:ascii="宋体" w:hAnsi="宋体" w:eastAsia="宋体" w:cs="宋体"/>
                <w:kern w:val="0"/>
                <w:sz w:val="20"/>
                <w:szCs w:val="20"/>
              </w:rPr>
              <w:t>（1）报账录入：经费的支出需根据预算的年度和科目进行支出，记录支出款项的支出金额、课题名称及批次，支出人、 接受人和日期等，使每笔支出款额有据可依，经费支出管理使每一笔支出款项都记录在案，使科技处对每笔经费的使用情况做到心中有数，可追溯。支持票据附件上传。</w:t>
            </w:r>
          </w:p>
          <w:p w14:paraId="5CAA3D25">
            <w:pPr>
              <w:widowControl/>
              <w:rPr>
                <w:rFonts w:hint="eastAsia" w:ascii="宋体" w:hAnsi="宋体" w:eastAsia="宋体" w:cs="宋体"/>
                <w:kern w:val="0"/>
                <w:sz w:val="20"/>
                <w:szCs w:val="20"/>
              </w:rPr>
            </w:pPr>
            <w:r>
              <w:rPr>
                <w:rFonts w:hint="eastAsia" w:ascii="宋体" w:hAnsi="宋体" w:eastAsia="宋体" w:cs="宋体"/>
                <w:kern w:val="0"/>
                <w:sz w:val="20"/>
                <w:szCs w:val="20"/>
              </w:rPr>
              <w:t>（2）报账审批：提供一次审批、二次审批功能。能对接财务报账号, 审批完成自动生成可以打印的审批单。</w:t>
            </w:r>
          </w:p>
          <w:p w14:paraId="09F88A2A">
            <w:pPr>
              <w:widowControl/>
              <w:rPr>
                <w:rFonts w:hint="eastAsia" w:ascii="宋体" w:hAnsi="宋体" w:eastAsia="宋体" w:cs="宋体"/>
                <w:kern w:val="0"/>
                <w:sz w:val="20"/>
                <w:szCs w:val="20"/>
              </w:rPr>
            </w:pPr>
            <w:r>
              <w:rPr>
                <w:rFonts w:hint="eastAsia" w:ascii="宋体" w:hAnsi="宋体" w:eastAsia="宋体" w:cs="宋体"/>
                <w:kern w:val="0"/>
                <w:sz w:val="20"/>
                <w:szCs w:val="20"/>
              </w:rPr>
              <w:t>（3）查询统计：科研经费管理需提供经费统计的功能，需实现经费统计，并且经费统计表可输入 EXCEL表格中，方便数据的导入导出，能查看统计范围内所有款项的详细信息及在本范围内的支出金额总计，并且提供打印功能。</w:t>
            </w:r>
          </w:p>
          <w:p w14:paraId="1ED918F2">
            <w:pPr>
              <w:widowControl/>
              <w:rPr>
                <w:rFonts w:hint="eastAsia" w:ascii="宋体" w:hAnsi="宋体" w:eastAsia="宋体" w:cs="宋体"/>
                <w:kern w:val="0"/>
                <w:sz w:val="20"/>
                <w:szCs w:val="20"/>
              </w:rPr>
            </w:pPr>
            <w:r>
              <w:rPr>
                <w:rFonts w:hint="eastAsia" w:ascii="宋体" w:hAnsi="宋体" w:eastAsia="宋体" w:cs="宋体"/>
                <w:kern w:val="0"/>
                <w:sz w:val="20"/>
                <w:szCs w:val="20"/>
              </w:rPr>
              <w:t>（4）我的报账：可以查询报账记录，报账审批状态，账单的财务账单的凭证号，可上传票据（限制单张图片大小）。</w:t>
            </w:r>
          </w:p>
          <w:p w14:paraId="099EAB6C">
            <w:pPr>
              <w:widowControl/>
              <w:ind w:left="216"/>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shd w:val="clear" w:color="auto" w:fill="auto"/>
            <w:vAlign w:val="center"/>
          </w:tcPr>
          <w:p w14:paraId="272307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05F12A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0FEC2DCF">
            <w:pPr>
              <w:widowControl/>
              <w:jc w:val="center"/>
              <w:rPr>
                <w:rFonts w:hint="eastAsia" w:ascii="宋体" w:hAnsi="宋体" w:eastAsia="宋体" w:cs="宋体"/>
                <w:kern w:val="0"/>
                <w:sz w:val="20"/>
                <w:szCs w:val="20"/>
              </w:rPr>
            </w:pPr>
          </w:p>
        </w:tc>
      </w:tr>
      <w:tr w14:paraId="02C81DCD">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6ADDEA8A">
            <w:pPr>
              <w:widowControl/>
              <w:jc w:val="center"/>
              <w:rPr>
                <w:rFonts w:hint="eastAsia" w:ascii="宋体" w:hAnsi="宋体" w:eastAsia="宋体" w:cs="宋体"/>
                <w:kern w:val="0"/>
                <w:sz w:val="20"/>
                <w:szCs w:val="20"/>
              </w:rPr>
            </w:pPr>
            <w:r>
              <w:rPr>
                <w:rFonts w:ascii="宋体" w:hAnsi="宋体" w:eastAsia="宋体" w:cs="宋体"/>
                <w:kern w:val="0"/>
                <w:sz w:val="20"/>
                <w:szCs w:val="20"/>
              </w:rPr>
              <w:t>5</w:t>
            </w:r>
          </w:p>
        </w:tc>
        <w:tc>
          <w:tcPr>
            <w:tcW w:w="581" w:type="pct"/>
            <w:tcBorders>
              <w:top w:val="nil"/>
              <w:left w:val="nil"/>
              <w:bottom w:val="single" w:color="auto" w:sz="4" w:space="0"/>
              <w:right w:val="single" w:color="auto" w:sz="4" w:space="0"/>
            </w:tcBorders>
            <w:shd w:val="clear" w:color="auto" w:fill="auto"/>
            <w:vAlign w:val="center"/>
          </w:tcPr>
          <w:p w14:paraId="5E7BA0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成果管理</w:t>
            </w:r>
          </w:p>
        </w:tc>
        <w:tc>
          <w:tcPr>
            <w:tcW w:w="3099" w:type="pct"/>
            <w:tcBorders>
              <w:top w:val="nil"/>
              <w:left w:val="nil"/>
              <w:bottom w:val="single" w:color="auto" w:sz="4" w:space="0"/>
              <w:right w:val="single" w:color="auto" w:sz="4" w:space="0"/>
            </w:tcBorders>
            <w:shd w:val="clear" w:color="auto" w:fill="auto"/>
            <w:vAlign w:val="center"/>
          </w:tcPr>
          <w:p w14:paraId="47D87FA1">
            <w:pPr>
              <w:widowControl/>
              <w:rPr>
                <w:rFonts w:hint="eastAsia" w:ascii="宋体" w:hAnsi="宋体" w:eastAsia="宋体" w:cs="宋体"/>
                <w:kern w:val="0"/>
                <w:sz w:val="20"/>
                <w:szCs w:val="20"/>
              </w:rPr>
            </w:pPr>
            <w:r>
              <w:rPr>
                <w:rFonts w:hint="eastAsia" w:ascii="宋体" w:hAnsi="宋体" w:eastAsia="宋体" w:cs="宋体"/>
                <w:kern w:val="0"/>
                <w:sz w:val="20"/>
                <w:szCs w:val="20"/>
              </w:rPr>
              <w:t>1.成果登记:</w:t>
            </w:r>
          </w:p>
          <w:p w14:paraId="57A528CA">
            <w:pPr>
              <w:widowControl/>
              <w:rPr>
                <w:rFonts w:hint="eastAsia" w:ascii="宋体" w:hAnsi="宋体" w:eastAsia="宋体" w:cs="宋体"/>
                <w:kern w:val="0"/>
                <w:sz w:val="20"/>
                <w:szCs w:val="20"/>
              </w:rPr>
            </w:pPr>
            <w:r>
              <w:rPr>
                <w:rFonts w:hint="eastAsia" w:ascii="宋体" w:hAnsi="宋体" w:eastAsia="宋体" w:cs="宋体"/>
                <w:kern w:val="0"/>
                <w:sz w:val="20"/>
                <w:szCs w:val="20"/>
              </w:rPr>
              <w:t>（1）登记计划设置：针对每年设置成果登记计划时间，包括：登记启始时间、结束时间、二级审核截止时间的开关参数；</w:t>
            </w:r>
          </w:p>
          <w:p w14:paraId="761ABD66">
            <w:pPr>
              <w:widowControl/>
              <w:rPr>
                <w:rFonts w:hint="eastAsia" w:ascii="宋体" w:hAnsi="宋体" w:eastAsia="宋体" w:cs="宋体"/>
                <w:kern w:val="0"/>
                <w:sz w:val="20"/>
                <w:szCs w:val="20"/>
              </w:rPr>
            </w:pPr>
            <w:r>
              <w:rPr>
                <w:rFonts w:hint="eastAsia" w:ascii="宋体" w:hAnsi="宋体" w:eastAsia="宋体" w:cs="宋体"/>
                <w:kern w:val="0"/>
                <w:sz w:val="20"/>
                <w:szCs w:val="20"/>
              </w:rPr>
              <w:t>（2）分类登记：按成果获奖、立项课题、学术论文、学术专著、专利成果、特色教材、技术服务、学术活动、竞赛获奖 9 类进行分类登记入库，基本信息包括：名称、完成人、级别、 来源、完成部门等信息，然后根据类别不同，扩展各类成果的其他不同信息。提供成果主持人对成果按贡献进行二次分配；</w:t>
            </w:r>
          </w:p>
          <w:p w14:paraId="7AE0E118">
            <w:pPr>
              <w:widowControl/>
              <w:rPr>
                <w:rFonts w:hint="eastAsia" w:ascii="宋体" w:hAnsi="宋体" w:eastAsia="宋体" w:cs="宋体"/>
                <w:kern w:val="0"/>
                <w:sz w:val="20"/>
                <w:szCs w:val="20"/>
              </w:rPr>
            </w:pPr>
            <w:r>
              <w:rPr>
                <w:rFonts w:hint="eastAsia" w:ascii="宋体" w:hAnsi="宋体" w:eastAsia="宋体" w:cs="宋体"/>
                <w:kern w:val="0"/>
                <w:sz w:val="20"/>
                <w:szCs w:val="20"/>
              </w:rPr>
              <w:t>（3）成果记录查询：能根据类别、级别、年份、部门等一种或多种组合查询，支撑模糊查询；</w:t>
            </w:r>
          </w:p>
          <w:p w14:paraId="20285D6B">
            <w:pPr>
              <w:widowControl/>
              <w:rPr>
                <w:rFonts w:hint="eastAsia" w:ascii="宋体" w:hAnsi="宋体" w:eastAsia="宋体" w:cs="宋体"/>
                <w:kern w:val="0"/>
                <w:sz w:val="20"/>
                <w:szCs w:val="20"/>
              </w:rPr>
            </w:pPr>
            <w:r>
              <w:rPr>
                <w:rFonts w:hint="eastAsia" w:ascii="宋体" w:hAnsi="宋体" w:eastAsia="宋体" w:cs="宋体"/>
                <w:kern w:val="0"/>
                <w:sz w:val="20"/>
                <w:szCs w:val="20"/>
              </w:rPr>
              <w:t>2.成果审核:</w:t>
            </w:r>
          </w:p>
          <w:p w14:paraId="4794838C">
            <w:pPr>
              <w:widowControl/>
              <w:rPr>
                <w:rFonts w:hint="eastAsia" w:ascii="宋体" w:hAnsi="宋体" w:eastAsia="宋体" w:cs="宋体"/>
                <w:kern w:val="0"/>
                <w:sz w:val="20"/>
                <w:szCs w:val="20"/>
              </w:rPr>
            </w:pPr>
            <w:r>
              <w:rPr>
                <w:rFonts w:hint="eastAsia" w:ascii="宋体" w:hAnsi="宋体" w:eastAsia="宋体" w:cs="宋体"/>
                <w:kern w:val="0"/>
                <w:sz w:val="20"/>
                <w:szCs w:val="20"/>
              </w:rPr>
              <w:t>（1）部门审核：部门管理员对成果的归属、信息正确性、支撑附件材料、成果贡献分配等进行审核；</w:t>
            </w:r>
          </w:p>
          <w:p w14:paraId="27877C1C">
            <w:pPr>
              <w:widowControl/>
              <w:rPr>
                <w:rFonts w:hint="eastAsia" w:ascii="宋体" w:hAnsi="宋体" w:eastAsia="宋体" w:cs="宋体"/>
                <w:kern w:val="0"/>
                <w:sz w:val="20"/>
                <w:szCs w:val="20"/>
              </w:rPr>
            </w:pPr>
            <w:r>
              <w:rPr>
                <w:rFonts w:hint="eastAsia" w:ascii="宋体" w:hAnsi="宋体" w:eastAsia="宋体" w:cs="宋体"/>
                <w:kern w:val="0"/>
                <w:sz w:val="20"/>
                <w:szCs w:val="20"/>
              </w:rPr>
              <w:t>（2）学院审核：学院管理员对部门审核通过成果进行标准定级进行审核和分配数据校验，提供成果标准一键检测功能；</w:t>
            </w:r>
          </w:p>
          <w:p w14:paraId="13B10761">
            <w:pPr>
              <w:widowControl/>
              <w:rPr>
                <w:rFonts w:hint="eastAsia" w:ascii="宋体" w:hAnsi="宋体" w:eastAsia="宋体" w:cs="宋体"/>
                <w:kern w:val="0"/>
                <w:sz w:val="20"/>
                <w:szCs w:val="20"/>
              </w:rPr>
            </w:pPr>
            <w:r>
              <w:rPr>
                <w:rFonts w:hint="eastAsia" w:ascii="宋体" w:hAnsi="宋体" w:eastAsia="宋体" w:cs="宋体"/>
                <w:kern w:val="0"/>
                <w:sz w:val="20"/>
                <w:szCs w:val="20"/>
              </w:rPr>
              <w:t>（3）审核结果查询：提供学院、部门、个人三级查询窗口，查询信息包括：成果分配数据、审核过程记录、未通过结论数据；</w:t>
            </w:r>
          </w:p>
          <w:p w14:paraId="0974D97A">
            <w:pPr>
              <w:widowControl/>
              <w:rPr>
                <w:rFonts w:hint="eastAsia" w:ascii="宋体" w:hAnsi="宋体" w:eastAsia="宋体" w:cs="宋体"/>
                <w:kern w:val="0"/>
                <w:sz w:val="20"/>
                <w:szCs w:val="20"/>
              </w:rPr>
            </w:pPr>
            <w:r>
              <w:rPr>
                <w:rFonts w:hint="eastAsia" w:ascii="宋体" w:hAnsi="宋体" w:eastAsia="宋体" w:cs="宋体"/>
                <w:kern w:val="0"/>
                <w:sz w:val="20"/>
                <w:szCs w:val="20"/>
              </w:rPr>
              <w:t>3.成果记录:</w:t>
            </w:r>
          </w:p>
          <w:p w14:paraId="62C7CA80">
            <w:pPr>
              <w:widowControl/>
              <w:rPr>
                <w:rFonts w:hint="eastAsia" w:ascii="宋体" w:hAnsi="宋体" w:eastAsia="宋体" w:cs="宋体"/>
                <w:kern w:val="0"/>
                <w:sz w:val="20"/>
                <w:szCs w:val="20"/>
              </w:rPr>
            </w:pPr>
            <w:r>
              <w:rPr>
                <w:rFonts w:hint="eastAsia" w:ascii="宋体" w:hAnsi="宋体" w:eastAsia="宋体" w:cs="宋体"/>
                <w:kern w:val="0"/>
                <w:sz w:val="20"/>
                <w:szCs w:val="20"/>
              </w:rPr>
              <w:t>（1）记录查询：提供多条件组合查询和关键词查询；</w:t>
            </w:r>
          </w:p>
          <w:p w14:paraId="25B07EA6">
            <w:pPr>
              <w:widowControl/>
              <w:rPr>
                <w:rFonts w:hint="eastAsia" w:ascii="宋体" w:hAnsi="宋体" w:eastAsia="宋体" w:cs="宋体"/>
                <w:kern w:val="0"/>
                <w:sz w:val="20"/>
                <w:szCs w:val="20"/>
              </w:rPr>
            </w:pPr>
            <w:r>
              <w:rPr>
                <w:rFonts w:hint="eastAsia" w:ascii="宋体" w:hAnsi="宋体" w:eastAsia="宋体" w:cs="宋体"/>
                <w:kern w:val="0"/>
                <w:sz w:val="20"/>
                <w:szCs w:val="20"/>
              </w:rPr>
              <w:t>（2）成果附件下载：提供成果附件材料下载功能。</w:t>
            </w:r>
          </w:p>
        </w:tc>
        <w:tc>
          <w:tcPr>
            <w:tcW w:w="265" w:type="pct"/>
            <w:tcBorders>
              <w:top w:val="nil"/>
              <w:left w:val="nil"/>
              <w:bottom w:val="single" w:color="auto" w:sz="4" w:space="0"/>
              <w:right w:val="single" w:color="auto" w:sz="4" w:space="0"/>
            </w:tcBorders>
            <w:shd w:val="clear" w:color="auto" w:fill="auto"/>
            <w:vAlign w:val="center"/>
          </w:tcPr>
          <w:p w14:paraId="7EF75A3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724D5E8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1D312E40">
            <w:pPr>
              <w:widowControl/>
              <w:jc w:val="center"/>
              <w:rPr>
                <w:rFonts w:hint="eastAsia" w:ascii="宋体" w:hAnsi="宋体" w:eastAsia="宋体" w:cs="宋体"/>
                <w:kern w:val="0"/>
                <w:sz w:val="20"/>
                <w:szCs w:val="20"/>
              </w:rPr>
            </w:pPr>
          </w:p>
        </w:tc>
      </w:tr>
      <w:tr w14:paraId="4F5F13A4">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522BFF1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581" w:type="pct"/>
            <w:tcBorders>
              <w:top w:val="nil"/>
              <w:left w:val="nil"/>
              <w:bottom w:val="single" w:color="auto" w:sz="4" w:space="0"/>
              <w:right w:val="single" w:color="auto" w:sz="4" w:space="0"/>
            </w:tcBorders>
            <w:shd w:val="clear" w:color="auto" w:fill="auto"/>
            <w:vAlign w:val="center"/>
          </w:tcPr>
          <w:p w14:paraId="7CE4EE7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科研统计</w:t>
            </w:r>
          </w:p>
        </w:tc>
        <w:tc>
          <w:tcPr>
            <w:tcW w:w="3099" w:type="pct"/>
            <w:tcBorders>
              <w:top w:val="nil"/>
              <w:left w:val="nil"/>
              <w:bottom w:val="single" w:color="auto" w:sz="4" w:space="0"/>
              <w:right w:val="single" w:color="auto" w:sz="4" w:space="0"/>
            </w:tcBorders>
            <w:shd w:val="clear" w:color="auto" w:fill="auto"/>
            <w:vAlign w:val="center"/>
          </w:tcPr>
          <w:p w14:paraId="759E34E8">
            <w:pPr>
              <w:widowControl/>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w:t>
            </w:r>
            <w:r>
              <w:rPr>
                <w:rFonts w:hint="eastAsia" w:ascii="宋体" w:hAnsi="宋体" w:eastAsia="宋体" w:cs="宋体"/>
                <w:kern w:val="0"/>
                <w:sz w:val="20"/>
                <w:szCs w:val="20"/>
              </w:rPr>
              <w:t>自定义查询:</w:t>
            </w:r>
          </w:p>
          <w:p w14:paraId="5160A017">
            <w:pPr>
              <w:widowControl/>
              <w:rPr>
                <w:rFonts w:hint="eastAsia" w:ascii="宋体" w:hAnsi="宋体" w:eastAsia="宋体" w:cs="宋体"/>
                <w:kern w:val="0"/>
                <w:sz w:val="20"/>
                <w:szCs w:val="20"/>
              </w:rPr>
            </w:pPr>
            <w:r>
              <w:rPr>
                <w:rFonts w:hint="eastAsia" w:ascii="宋体" w:hAnsi="宋体" w:eastAsia="宋体" w:cs="宋体"/>
                <w:kern w:val="0"/>
                <w:sz w:val="20"/>
                <w:szCs w:val="20"/>
              </w:rPr>
              <w:t>可选择不同的字段进行多种组合的自定义查询，对查询结果提供统计报表，对部分查询结果提供直观的可视化图形展示；综合查询能对人员、项目、经费、成果、获奖等信息进行组合关联查询，检索出符合条件的人员、项目、经费、成果（论文/著作/研究报告/鉴定成果/专利/成果转化）、获奖等信息，同时对检索结果进行分组显示；</w:t>
            </w:r>
          </w:p>
          <w:p w14:paraId="02EA7D48">
            <w:pPr>
              <w:widowControl/>
              <w:rPr>
                <w:rFonts w:hint="eastAsia" w:ascii="宋体" w:hAnsi="宋体" w:eastAsia="宋体" w:cs="宋体"/>
                <w:kern w:val="0"/>
                <w:sz w:val="20"/>
                <w:szCs w:val="20"/>
              </w:rPr>
            </w:pPr>
            <w:r>
              <w:rPr>
                <w:rFonts w:hint="eastAsia" w:ascii="宋体" w:hAnsi="宋体" w:eastAsia="宋体" w:cs="宋体"/>
                <w:kern w:val="0"/>
                <w:sz w:val="20"/>
                <w:szCs w:val="20"/>
              </w:rPr>
              <w:t>2.学校报告：</w:t>
            </w:r>
          </w:p>
          <w:p w14:paraId="78D4EE59">
            <w:pPr>
              <w:widowControl/>
              <w:rPr>
                <w:rFonts w:hint="eastAsia" w:ascii="宋体" w:hAnsi="宋体" w:eastAsia="宋体" w:cs="宋体"/>
                <w:kern w:val="0"/>
                <w:sz w:val="20"/>
                <w:szCs w:val="20"/>
              </w:rPr>
            </w:pPr>
            <w:r>
              <w:rPr>
                <w:rFonts w:hint="eastAsia" w:ascii="宋体" w:hAnsi="宋体" w:eastAsia="宋体" w:cs="宋体"/>
                <w:kern w:val="0"/>
                <w:sz w:val="20"/>
                <w:szCs w:val="20"/>
              </w:rPr>
              <w:t>显示学校科研工作动态，展示学校成果趋势图及历年数据，历年的科研课题统计表及各类课题占比图。</w:t>
            </w:r>
          </w:p>
          <w:p w14:paraId="1BC8B935">
            <w:pPr>
              <w:widowControl/>
              <w:rPr>
                <w:rFonts w:hint="eastAsia" w:ascii="宋体" w:hAnsi="宋体" w:eastAsia="宋体" w:cs="宋体"/>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w:t>
            </w:r>
            <w:r>
              <w:rPr>
                <w:rFonts w:hint="eastAsia" w:ascii="宋体" w:hAnsi="宋体" w:eastAsia="宋体" w:cs="宋体"/>
                <w:kern w:val="0"/>
                <w:sz w:val="20"/>
                <w:szCs w:val="20"/>
              </w:rPr>
              <w:t>个人报告：</w:t>
            </w:r>
          </w:p>
          <w:p w14:paraId="7E75EDCF">
            <w:pPr>
              <w:widowControl/>
              <w:rPr>
                <w:rFonts w:hint="eastAsia" w:ascii="宋体" w:hAnsi="宋体" w:eastAsia="宋体" w:cs="宋体"/>
                <w:kern w:val="0"/>
                <w:sz w:val="20"/>
                <w:szCs w:val="20"/>
              </w:rPr>
            </w:pPr>
            <w:r>
              <w:rPr>
                <w:rFonts w:hint="eastAsia" w:ascii="宋体" w:hAnsi="宋体" w:eastAsia="宋体" w:cs="宋体"/>
                <w:kern w:val="0"/>
                <w:sz w:val="20"/>
                <w:szCs w:val="20"/>
              </w:rPr>
              <w:t>个人学术成果展示，提供相关附件资料下载功能；</w:t>
            </w:r>
          </w:p>
          <w:p w14:paraId="0D3109F3">
            <w:pPr>
              <w:widowControl/>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w:t>
            </w:r>
            <w:r>
              <w:rPr>
                <w:rFonts w:hint="eastAsia" w:ascii="宋体" w:hAnsi="宋体" w:eastAsia="宋体" w:cs="宋体"/>
                <w:kern w:val="0"/>
                <w:sz w:val="20"/>
                <w:szCs w:val="20"/>
              </w:rPr>
              <w:t>报表管理：</w:t>
            </w:r>
          </w:p>
          <w:p w14:paraId="2D576A8C">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分类提供成果统计、课题统计、经费统计和用户日志统计多种形式的报表；可以按需要自定义报表内容并方便生成使用；有多个年度数据后可以生成对比分析类报表。 </w:t>
            </w:r>
          </w:p>
        </w:tc>
        <w:tc>
          <w:tcPr>
            <w:tcW w:w="265" w:type="pct"/>
            <w:tcBorders>
              <w:top w:val="nil"/>
              <w:left w:val="nil"/>
              <w:bottom w:val="single" w:color="auto" w:sz="4" w:space="0"/>
              <w:right w:val="single" w:color="auto" w:sz="4" w:space="0"/>
            </w:tcBorders>
            <w:shd w:val="clear" w:color="auto" w:fill="auto"/>
            <w:vAlign w:val="center"/>
          </w:tcPr>
          <w:p w14:paraId="0D9F4A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32F398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461C8675">
            <w:pPr>
              <w:widowControl/>
              <w:jc w:val="center"/>
              <w:rPr>
                <w:rFonts w:hint="eastAsia" w:ascii="宋体" w:hAnsi="宋体" w:eastAsia="宋体" w:cs="宋体"/>
                <w:kern w:val="0"/>
                <w:sz w:val="20"/>
                <w:szCs w:val="20"/>
              </w:rPr>
            </w:pPr>
          </w:p>
        </w:tc>
      </w:tr>
      <w:tr w14:paraId="4A47D96A">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0D814BF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581" w:type="pct"/>
            <w:tcBorders>
              <w:top w:val="nil"/>
              <w:left w:val="nil"/>
              <w:bottom w:val="single" w:color="auto" w:sz="4" w:space="0"/>
              <w:right w:val="single" w:color="auto" w:sz="4" w:space="0"/>
            </w:tcBorders>
            <w:shd w:val="clear" w:color="auto" w:fill="auto"/>
            <w:vAlign w:val="center"/>
          </w:tcPr>
          <w:p w14:paraId="344B8D2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绩效考核</w:t>
            </w:r>
          </w:p>
        </w:tc>
        <w:tc>
          <w:tcPr>
            <w:tcW w:w="3099" w:type="pct"/>
            <w:tcBorders>
              <w:top w:val="nil"/>
              <w:left w:val="nil"/>
              <w:bottom w:val="single" w:color="auto" w:sz="4" w:space="0"/>
              <w:right w:val="single" w:color="auto" w:sz="4" w:space="0"/>
            </w:tcBorders>
            <w:shd w:val="clear" w:color="auto" w:fill="auto"/>
            <w:vAlign w:val="center"/>
          </w:tcPr>
          <w:p w14:paraId="5173163D">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1.绩效标准管理 </w:t>
            </w:r>
            <w:r>
              <w:rPr>
                <w:rFonts w:ascii="宋体" w:hAnsi="宋体" w:eastAsia="宋体" w:cs="宋体"/>
                <w:kern w:val="0"/>
                <w:sz w:val="20"/>
                <w:szCs w:val="20"/>
              </w:rPr>
              <w:t>:</w:t>
            </w:r>
          </w:p>
          <w:p w14:paraId="472912C7">
            <w:pPr>
              <w:widowControl/>
              <w:rPr>
                <w:rFonts w:hint="eastAsia" w:ascii="宋体" w:hAnsi="宋体" w:eastAsia="宋体" w:cs="宋体"/>
                <w:kern w:val="0"/>
                <w:sz w:val="20"/>
                <w:szCs w:val="20"/>
              </w:rPr>
            </w:pPr>
            <w:r>
              <w:rPr>
                <w:rFonts w:hint="eastAsia" w:ascii="宋体" w:hAnsi="宋体" w:eastAsia="宋体" w:cs="宋体"/>
                <w:kern w:val="0"/>
                <w:sz w:val="20"/>
                <w:szCs w:val="20"/>
              </w:rPr>
              <w:t>（1）科研文件管理：提供所有科研成果文件管理功能,包括文件新增、修改、删除等，提供起用、停用两种状态，保持对历史数据完整原样提供；</w:t>
            </w:r>
          </w:p>
          <w:p w14:paraId="0DC2365C">
            <w:pPr>
              <w:widowControl/>
              <w:rPr>
                <w:rFonts w:hint="eastAsia" w:ascii="宋体" w:hAnsi="宋体" w:eastAsia="宋体" w:cs="宋体"/>
                <w:kern w:val="0"/>
                <w:sz w:val="20"/>
                <w:szCs w:val="20"/>
              </w:rPr>
            </w:pPr>
            <w:r>
              <w:rPr>
                <w:rFonts w:hint="eastAsia" w:ascii="宋体" w:hAnsi="宋体" w:eastAsia="宋体" w:cs="宋体"/>
                <w:kern w:val="0"/>
                <w:sz w:val="20"/>
                <w:szCs w:val="20"/>
              </w:rPr>
              <w:t>（2）成果标准维护：对各类科研成果的等级、名称、分值进行维护，实现成果定级的自动关联；</w:t>
            </w:r>
          </w:p>
          <w:p w14:paraId="6EAC27A2">
            <w:pPr>
              <w:widowControl/>
              <w:rPr>
                <w:rFonts w:hint="eastAsia" w:ascii="宋体" w:hAnsi="宋体" w:eastAsia="宋体" w:cs="宋体"/>
                <w:kern w:val="0"/>
                <w:sz w:val="20"/>
                <w:szCs w:val="20"/>
              </w:rPr>
            </w:pPr>
            <w:r>
              <w:rPr>
                <w:rFonts w:hint="eastAsia" w:ascii="宋体" w:hAnsi="宋体" w:eastAsia="宋体" w:cs="宋体"/>
                <w:kern w:val="0"/>
                <w:sz w:val="20"/>
                <w:szCs w:val="20"/>
              </w:rPr>
              <w:t>2.绩效考核计分设置:</w:t>
            </w:r>
          </w:p>
          <w:p w14:paraId="5D79653D">
            <w:pPr>
              <w:widowControl/>
              <w:rPr>
                <w:rFonts w:hint="eastAsia" w:ascii="宋体" w:hAnsi="宋体" w:eastAsia="宋体" w:cs="宋体"/>
                <w:kern w:val="0"/>
                <w:sz w:val="20"/>
                <w:szCs w:val="20"/>
              </w:rPr>
            </w:pPr>
            <w:r>
              <w:rPr>
                <w:rFonts w:hint="eastAsia" w:ascii="宋体" w:hAnsi="宋体" w:eastAsia="宋体" w:cs="宋体"/>
                <w:kern w:val="0"/>
                <w:sz w:val="20"/>
                <w:szCs w:val="20"/>
              </w:rPr>
              <w:t>（1）人员查询：依部门名称或真实姓名可查到每个科研人员的详细信息；</w:t>
            </w:r>
          </w:p>
          <w:p w14:paraId="152DCAE0">
            <w:pPr>
              <w:widowControl/>
              <w:rPr>
                <w:rFonts w:hint="eastAsia" w:ascii="宋体" w:hAnsi="宋体" w:eastAsia="宋体" w:cs="宋体"/>
                <w:kern w:val="0"/>
                <w:sz w:val="20"/>
                <w:szCs w:val="20"/>
              </w:rPr>
            </w:pPr>
            <w:r>
              <w:rPr>
                <w:rFonts w:hint="eastAsia" w:ascii="宋体" w:hAnsi="宋体" w:eastAsia="宋体" w:cs="宋体"/>
                <w:kern w:val="0"/>
                <w:sz w:val="20"/>
                <w:szCs w:val="20"/>
              </w:rPr>
              <w:t>（2）考核设定：考核分值的设定，可以设置考核类别、业绩点及分值；</w:t>
            </w:r>
          </w:p>
          <w:p w14:paraId="18CCB491">
            <w:pPr>
              <w:widowControl/>
              <w:rPr>
                <w:rFonts w:hint="eastAsia" w:ascii="宋体" w:hAnsi="宋体" w:eastAsia="宋体" w:cs="宋体"/>
                <w:kern w:val="0"/>
                <w:sz w:val="20"/>
                <w:szCs w:val="20"/>
              </w:rPr>
            </w:pPr>
            <w:r>
              <w:rPr>
                <w:rFonts w:hint="eastAsia" w:ascii="宋体" w:hAnsi="宋体" w:eastAsia="宋体" w:cs="宋体"/>
                <w:kern w:val="0"/>
                <w:sz w:val="20"/>
                <w:szCs w:val="20"/>
              </w:rPr>
              <w:t>（3）考核计算：系统自动获取被考核人的各种科研活动（负责的科研项目或取得的科研成果），并可自动计算考核得分；</w:t>
            </w:r>
          </w:p>
          <w:p w14:paraId="0037D334">
            <w:pPr>
              <w:widowControl/>
              <w:rPr>
                <w:rFonts w:hint="eastAsia" w:ascii="宋体" w:hAnsi="宋体" w:eastAsia="宋体" w:cs="宋体"/>
                <w:kern w:val="0"/>
                <w:sz w:val="20"/>
                <w:szCs w:val="20"/>
              </w:rPr>
            </w:pPr>
            <w:r>
              <w:rPr>
                <w:rFonts w:hint="eastAsia" w:ascii="宋体" w:hAnsi="宋体" w:eastAsia="宋体" w:cs="宋体"/>
                <w:kern w:val="0"/>
                <w:sz w:val="20"/>
                <w:szCs w:val="20"/>
              </w:rPr>
              <w:t>（4）二次分配：普通科研人员可随时查询自己的考核得分，并根据情况将考核得分按照工作量分配给其他的合作者；</w:t>
            </w:r>
          </w:p>
          <w:p w14:paraId="78AE3207">
            <w:pPr>
              <w:widowControl/>
              <w:rPr>
                <w:rFonts w:hint="eastAsia" w:ascii="宋体" w:hAnsi="宋体" w:eastAsia="宋体" w:cs="宋体"/>
                <w:b/>
                <w:bCs/>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w:t>
            </w:r>
            <w:r>
              <w:rPr>
                <w:rFonts w:hint="eastAsia" w:ascii="宋体" w:hAnsi="宋体" w:eastAsia="宋体" w:cs="Times New Roman"/>
                <w:b/>
                <w:bCs/>
                <w:sz w:val="24"/>
              </w:rPr>
              <w:t xml:space="preserve"> </w:t>
            </w:r>
            <w:r>
              <w:rPr>
                <w:rFonts w:hint="eastAsia" w:ascii="宋体" w:hAnsi="宋体" w:eastAsia="宋体" w:cs="宋体"/>
                <w:kern w:val="0"/>
                <w:sz w:val="20"/>
                <w:szCs w:val="20"/>
              </w:rPr>
              <w:t>科研奖励:</w:t>
            </w:r>
          </w:p>
          <w:p w14:paraId="4DC222F7">
            <w:pPr>
              <w:widowControl/>
              <w:rPr>
                <w:rFonts w:hint="eastAsia" w:ascii="宋体" w:hAnsi="宋体" w:eastAsia="宋体" w:cs="宋体"/>
                <w:kern w:val="0"/>
                <w:sz w:val="20"/>
                <w:szCs w:val="20"/>
              </w:rPr>
            </w:pPr>
            <w:r>
              <w:rPr>
                <w:rFonts w:hint="eastAsia" w:ascii="宋体" w:hAnsi="宋体" w:eastAsia="宋体" w:cs="宋体"/>
                <w:kern w:val="0"/>
                <w:sz w:val="20"/>
                <w:szCs w:val="20"/>
              </w:rPr>
              <w:t>（1）人员查询：依部门名称或真实姓名可查到每个科研人员的详细信息；</w:t>
            </w:r>
          </w:p>
          <w:p w14:paraId="2BC43FAA">
            <w:pPr>
              <w:widowControl/>
              <w:rPr>
                <w:rFonts w:hint="eastAsia" w:ascii="宋体" w:hAnsi="宋体" w:eastAsia="宋体" w:cs="宋体"/>
                <w:kern w:val="0"/>
                <w:sz w:val="20"/>
                <w:szCs w:val="20"/>
              </w:rPr>
            </w:pPr>
            <w:r>
              <w:rPr>
                <w:rFonts w:hint="eastAsia" w:ascii="宋体" w:hAnsi="宋体" w:eastAsia="宋体" w:cs="宋体"/>
                <w:kern w:val="0"/>
                <w:sz w:val="20"/>
                <w:szCs w:val="20"/>
              </w:rPr>
              <w:t>（2）奖励设定：奖励分值的设定，可以设置奖励类别、业绩点及分值；</w:t>
            </w:r>
          </w:p>
          <w:p w14:paraId="22CB1FBF">
            <w:pPr>
              <w:widowControl/>
              <w:rPr>
                <w:rFonts w:hint="eastAsia" w:ascii="宋体" w:hAnsi="宋体" w:eastAsia="宋体" w:cs="宋体"/>
                <w:kern w:val="0"/>
                <w:sz w:val="20"/>
                <w:szCs w:val="20"/>
              </w:rPr>
            </w:pPr>
            <w:r>
              <w:rPr>
                <w:rFonts w:hint="eastAsia" w:ascii="宋体" w:hAnsi="宋体" w:eastAsia="宋体" w:cs="宋体"/>
                <w:kern w:val="0"/>
                <w:sz w:val="20"/>
                <w:szCs w:val="20"/>
              </w:rPr>
              <w:t>（3）考核计算：系统自动获取被考核人的各种科研活动（负责的科研项目或取得的科研成果），并可自动计算考核得分；</w:t>
            </w:r>
          </w:p>
          <w:p w14:paraId="658DA4B2">
            <w:pPr>
              <w:widowControl/>
              <w:rPr>
                <w:rFonts w:hint="eastAsia" w:ascii="宋体" w:hAnsi="宋体" w:eastAsia="宋体" w:cs="宋体"/>
                <w:kern w:val="0"/>
                <w:sz w:val="20"/>
                <w:szCs w:val="20"/>
              </w:rPr>
            </w:pPr>
            <w:r>
              <w:rPr>
                <w:rFonts w:hint="eastAsia" w:ascii="宋体" w:hAnsi="宋体" w:eastAsia="宋体" w:cs="宋体"/>
                <w:kern w:val="0"/>
                <w:sz w:val="20"/>
                <w:szCs w:val="20"/>
              </w:rPr>
              <w:t>（4）二次分配：普通科研人员可随时查询自己的考核得分，并根据情况将考核得分按照工作量分配给其他的合作者。</w:t>
            </w:r>
          </w:p>
          <w:p w14:paraId="05F4375B">
            <w:pPr>
              <w:widowControl/>
              <w:rPr>
                <w:rFonts w:hint="eastAsia" w:ascii="宋体" w:hAnsi="宋体" w:eastAsia="宋体" w:cs="宋体"/>
                <w:kern w:val="0"/>
                <w:sz w:val="20"/>
                <w:szCs w:val="20"/>
              </w:rPr>
            </w:pPr>
            <w:r>
              <w:rPr>
                <w:rFonts w:ascii="宋体" w:hAnsi="宋体" w:eastAsia="宋体" w:cs="宋体"/>
                <w:kern w:val="0"/>
                <w:sz w:val="20"/>
                <w:szCs w:val="20"/>
              </w:rPr>
              <w:t>4</w:t>
            </w:r>
            <w:r>
              <w:rPr>
                <w:rFonts w:hint="eastAsia" w:ascii="宋体" w:hAnsi="宋体" w:eastAsia="宋体" w:cs="宋体"/>
                <w:kern w:val="0"/>
                <w:sz w:val="20"/>
                <w:szCs w:val="20"/>
              </w:rPr>
              <w:t>. 绩效考核统计管理:</w:t>
            </w:r>
          </w:p>
          <w:p w14:paraId="04FC46C0">
            <w:pPr>
              <w:widowControl/>
              <w:rPr>
                <w:rFonts w:hint="eastAsia" w:ascii="宋体" w:hAnsi="宋体" w:eastAsia="宋体" w:cs="宋体"/>
                <w:kern w:val="0"/>
                <w:sz w:val="20"/>
                <w:szCs w:val="20"/>
              </w:rPr>
            </w:pPr>
            <w:r>
              <w:rPr>
                <w:rFonts w:hint="eastAsia" w:ascii="宋体" w:hAnsi="宋体" w:eastAsia="宋体" w:cs="宋体"/>
                <w:kern w:val="0"/>
                <w:sz w:val="20"/>
                <w:szCs w:val="20"/>
              </w:rPr>
              <w:t>考核统计：科研管理人员或主管领导可以随时查阅业绩汇总统计表或业绩分项汇总表。科研考核是按管理办法在特定时间段内对科研人员的科研活动和业绩进行综合量化评估。科研处可以按照时间和考核管理办法设置各项考核指标和标准，设定各种考核计分公式，形成考核方案，用于对选定科研人员特定时间段内的科研工作进行考核。</w:t>
            </w:r>
          </w:p>
        </w:tc>
        <w:tc>
          <w:tcPr>
            <w:tcW w:w="265" w:type="pct"/>
            <w:tcBorders>
              <w:top w:val="nil"/>
              <w:left w:val="nil"/>
              <w:bottom w:val="single" w:color="auto" w:sz="4" w:space="0"/>
              <w:right w:val="single" w:color="auto" w:sz="4" w:space="0"/>
            </w:tcBorders>
            <w:shd w:val="clear" w:color="auto" w:fill="auto"/>
            <w:vAlign w:val="center"/>
          </w:tcPr>
          <w:p w14:paraId="5D32D91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02BE26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53CBBE14">
            <w:pPr>
              <w:widowControl/>
              <w:jc w:val="center"/>
              <w:rPr>
                <w:rFonts w:hint="eastAsia" w:ascii="宋体" w:hAnsi="宋体" w:eastAsia="宋体" w:cs="宋体"/>
                <w:kern w:val="0"/>
                <w:sz w:val="20"/>
                <w:szCs w:val="20"/>
              </w:rPr>
            </w:pPr>
          </w:p>
        </w:tc>
      </w:tr>
      <w:tr w14:paraId="6DB8DA87">
        <w:tblPrEx>
          <w:tblCellMar>
            <w:top w:w="0" w:type="dxa"/>
            <w:left w:w="108" w:type="dxa"/>
            <w:bottom w:w="0" w:type="dxa"/>
            <w:right w:w="108" w:type="dxa"/>
          </w:tblCellMar>
        </w:tblPrEx>
        <w:trPr>
          <w:trHeight w:val="1071"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416C81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581" w:type="pct"/>
            <w:tcBorders>
              <w:top w:val="nil"/>
              <w:left w:val="nil"/>
              <w:bottom w:val="single" w:color="auto" w:sz="4" w:space="0"/>
              <w:right w:val="single" w:color="auto" w:sz="4" w:space="0"/>
            </w:tcBorders>
            <w:shd w:val="clear" w:color="auto" w:fill="auto"/>
            <w:vAlign w:val="center"/>
          </w:tcPr>
          <w:p w14:paraId="7AA9B0A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新闻发布</w:t>
            </w:r>
          </w:p>
        </w:tc>
        <w:tc>
          <w:tcPr>
            <w:tcW w:w="3099" w:type="pct"/>
            <w:tcBorders>
              <w:top w:val="nil"/>
              <w:left w:val="nil"/>
              <w:bottom w:val="single" w:color="auto" w:sz="4" w:space="0"/>
              <w:right w:val="single" w:color="auto" w:sz="4" w:space="0"/>
            </w:tcBorders>
            <w:shd w:val="clear" w:color="auto" w:fill="auto"/>
            <w:vAlign w:val="center"/>
          </w:tcPr>
          <w:p w14:paraId="5AEBDC26">
            <w:pPr>
              <w:spacing w:before="156" w:beforeLines="50"/>
              <w:rPr>
                <w:rFonts w:hint="eastAsia" w:ascii="宋体" w:hAnsi="宋体" w:eastAsia="宋体" w:cs="宋体"/>
                <w:kern w:val="0"/>
                <w:sz w:val="20"/>
                <w:szCs w:val="20"/>
              </w:rPr>
            </w:pPr>
            <w:r>
              <w:rPr>
                <w:rFonts w:ascii="宋体" w:hAnsi="宋体" w:eastAsia="宋体" w:cs="宋体"/>
                <w:kern w:val="0"/>
                <w:sz w:val="20"/>
                <w:szCs w:val="20"/>
              </w:rPr>
              <w:t>通知公告</w:t>
            </w:r>
            <w:r>
              <w:rPr>
                <w:rFonts w:hint="eastAsia" w:ascii="宋体" w:hAnsi="宋体" w:eastAsia="宋体" w:cs="宋体"/>
                <w:kern w:val="0"/>
                <w:sz w:val="20"/>
                <w:szCs w:val="20"/>
              </w:rPr>
              <w:t>：可自定义通知公告的类别，发布各类通知公告。</w:t>
            </w:r>
          </w:p>
          <w:p w14:paraId="25698F06">
            <w:pPr>
              <w:widowControl/>
              <w:rPr>
                <w:rFonts w:hint="eastAsia" w:ascii="宋体" w:hAnsi="宋体" w:eastAsia="宋体" w:cs="宋体"/>
                <w:kern w:val="0"/>
                <w:sz w:val="20"/>
                <w:szCs w:val="20"/>
              </w:rPr>
            </w:pPr>
            <w:r>
              <w:rPr>
                <w:rFonts w:ascii="宋体" w:hAnsi="宋体" w:eastAsia="宋体" w:cs="宋体"/>
                <w:kern w:val="0"/>
                <w:sz w:val="20"/>
                <w:szCs w:val="20"/>
              </w:rPr>
              <w:t>科研动态</w:t>
            </w:r>
            <w:r>
              <w:rPr>
                <w:rFonts w:hint="eastAsia" w:ascii="宋体" w:hAnsi="宋体" w:eastAsia="宋体" w:cs="宋体"/>
                <w:kern w:val="0"/>
                <w:sz w:val="20"/>
                <w:szCs w:val="20"/>
              </w:rPr>
              <w:t>：可以自行发布工作动态，并自动推送致科研公众网站首页</w:t>
            </w:r>
            <w:r>
              <w:rPr>
                <w:rFonts w:hint="eastAsia" w:ascii="等线" w:hAnsi="等线" w:eastAsia="等线" w:cs="Times New Roman"/>
              </w:rPr>
              <w:t>。</w:t>
            </w:r>
          </w:p>
        </w:tc>
        <w:tc>
          <w:tcPr>
            <w:tcW w:w="265" w:type="pct"/>
            <w:tcBorders>
              <w:top w:val="nil"/>
              <w:left w:val="nil"/>
              <w:bottom w:val="single" w:color="auto" w:sz="4" w:space="0"/>
              <w:right w:val="single" w:color="auto" w:sz="4" w:space="0"/>
            </w:tcBorders>
            <w:shd w:val="clear" w:color="auto" w:fill="auto"/>
            <w:vAlign w:val="center"/>
          </w:tcPr>
          <w:p w14:paraId="5DA09E4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75E45C4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54B63916">
            <w:pPr>
              <w:widowControl/>
              <w:jc w:val="center"/>
              <w:rPr>
                <w:rFonts w:hint="eastAsia" w:ascii="宋体" w:hAnsi="宋体" w:eastAsia="宋体" w:cs="宋体"/>
                <w:kern w:val="0"/>
                <w:sz w:val="20"/>
                <w:szCs w:val="20"/>
              </w:rPr>
            </w:pPr>
          </w:p>
        </w:tc>
      </w:tr>
      <w:tr w14:paraId="601E46E4">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67A46F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581" w:type="pct"/>
            <w:tcBorders>
              <w:top w:val="nil"/>
              <w:left w:val="nil"/>
              <w:bottom w:val="single" w:color="auto" w:sz="4" w:space="0"/>
              <w:right w:val="single" w:color="auto" w:sz="4" w:space="0"/>
            </w:tcBorders>
            <w:shd w:val="clear" w:color="auto" w:fill="auto"/>
            <w:vAlign w:val="center"/>
          </w:tcPr>
          <w:p w14:paraId="2A58F7B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文库管理</w:t>
            </w:r>
          </w:p>
        </w:tc>
        <w:tc>
          <w:tcPr>
            <w:tcW w:w="3099" w:type="pct"/>
            <w:tcBorders>
              <w:top w:val="nil"/>
              <w:left w:val="nil"/>
              <w:bottom w:val="single" w:color="auto" w:sz="4" w:space="0"/>
              <w:right w:val="single" w:color="auto" w:sz="4" w:space="0"/>
            </w:tcBorders>
            <w:shd w:val="clear" w:color="auto" w:fill="auto"/>
            <w:vAlign w:val="center"/>
          </w:tcPr>
          <w:p w14:paraId="322368B1">
            <w:pPr>
              <w:widowControl/>
              <w:rPr>
                <w:rFonts w:hint="eastAsia" w:ascii="宋体" w:hAnsi="宋体" w:eastAsia="宋体" w:cs="宋体"/>
                <w:kern w:val="0"/>
                <w:sz w:val="20"/>
                <w:szCs w:val="20"/>
              </w:rPr>
            </w:pPr>
            <w:r>
              <w:rPr>
                <w:rFonts w:hint="eastAsia" w:ascii="宋体" w:hAnsi="宋体" w:eastAsia="宋体" w:cs="宋体"/>
                <w:kern w:val="0"/>
                <w:sz w:val="20"/>
                <w:szCs w:val="20"/>
              </w:rPr>
              <w:t>1.我的文库:</w:t>
            </w:r>
          </w:p>
          <w:p w14:paraId="13741FE7">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1）在线文库设置：为方便用户存储、检索各类课题、成果、评审等相关文档资料，可添加、删除文件，上传文档，记录文件存储路径和文件大小，以文档在系统内的关联频次。可以设置文件夹，设置上传文件大小限制； </w:t>
            </w:r>
          </w:p>
          <w:p w14:paraId="68F88CF9">
            <w:pPr>
              <w:widowControl/>
              <w:rPr>
                <w:rFonts w:hint="eastAsia" w:ascii="宋体" w:hAnsi="宋体" w:eastAsia="宋体" w:cs="宋体"/>
                <w:kern w:val="0"/>
                <w:sz w:val="20"/>
                <w:szCs w:val="20"/>
              </w:rPr>
            </w:pPr>
            <w:r>
              <w:rPr>
                <w:rFonts w:hint="eastAsia" w:ascii="宋体" w:hAnsi="宋体" w:eastAsia="宋体" w:cs="宋体"/>
                <w:kern w:val="0"/>
                <w:sz w:val="20"/>
                <w:szCs w:val="20"/>
              </w:rPr>
              <w:t>（2）防止误删除：文件的“关联频次”&gt;0 时表示该文档已被其他模块使用，无法被删除；每天凌晨系统对所有文档自动计算“关联频次”，建议对“关联频次”为0的文档即时清理，节约空间；</w:t>
            </w:r>
          </w:p>
          <w:p w14:paraId="2245252B">
            <w:pPr>
              <w:widowControl/>
              <w:rPr>
                <w:rFonts w:hint="eastAsia" w:ascii="宋体" w:hAnsi="宋体" w:eastAsia="宋体" w:cs="宋体"/>
                <w:kern w:val="0"/>
                <w:sz w:val="20"/>
                <w:szCs w:val="20"/>
              </w:rPr>
            </w:pPr>
            <w:r>
              <w:rPr>
                <w:rFonts w:hint="eastAsia" w:ascii="宋体" w:hAnsi="宋体" w:eastAsia="宋体" w:cs="宋体"/>
                <w:kern w:val="0"/>
                <w:sz w:val="20"/>
                <w:szCs w:val="20"/>
              </w:rPr>
              <w:t>2.共享文库:</w:t>
            </w:r>
          </w:p>
          <w:p w14:paraId="51AFAE00">
            <w:pPr>
              <w:ind w:firstLine="200" w:firstLineChars="100"/>
              <w:rPr>
                <w:rFonts w:hint="eastAsia" w:ascii="宋体" w:hAnsi="宋体" w:eastAsia="宋体" w:cs="宋体"/>
                <w:kern w:val="0"/>
                <w:sz w:val="20"/>
                <w:szCs w:val="20"/>
              </w:rPr>
            </w:pPr>
            <w:r>
              <w:rPr>
                <w:rFonts w:hint="eastAsia" w:ascii="宋体" w:hAnsi="宋体" w:eastAsia="宋体" w:cs="宋体"/>
                <w:kern w:val="0"/>
                <w:sz w:val="20"/>
                <w:szCs w:val="20"/>
              </w:rPr>
              <w:t>将科研制度文件、立项批示文件、成果认定文件等所有人均可共享的文件移入共享文件夹，面向全平台开放，提供用户查询和下载功能。并实现批文与对应的项目、成果关联。</w:t>
            </w:r>
          </w:p>
        </w:tc>
        <w:tc>
          <w:tcPr>
            <w:tcW w:w="265" w:type="pct"/>
            <w:tcBorders>
              <w:top w:val="nil"/>
              <w:left w:val="nil"/>
              <w:bottom w:val="single" w:color="auto" w:sz="4" w:space="0"/>
              <w:right w:val="single" w:color="auto" w:sz="4" w:space="0"/>
            </w:tcBorders>
            <w:shd w:val="clear" w:color="auto" w:fill="auto"/>
            <w:vAlign w:val="center"/>
          </w:tcPr>
          <w:p w14:paraId="5BB3057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7DE6CE9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1A91A2C6">
            <w:pPr>
              <w:widowControl/>
              <w:jc w:val="center"/>
              <w:rPr>
                <w:rFonts w:hint="eastAsia" w:ascii="宋体" w:hAnsi="宋体" w:eastAsia="宋体" w:cs="宋体"/>
                <w:kern w:val="0"/>
                <w:sz w:val="20"/>
                <w:szCs w:val="20"/>
              </w:rPr>
            </w:pPr>
          </w:p>
        </w:tc>
      </w:tr>
      <w:tr w14:paraId="63779431">
        <w:tblPrEx>
          <w:tblCellMar>
            <w:top w:w="0" w:type="dxa"/>
            <w:left w:w="108" w:type="dxa"/>
            <w:bottom w:w="0" w:type="dxa"/>
            <w:right w:w="108" w:type="dxa"/>
          </w:tblCellMar>
        </w:tblPrEx>
        <w:trPr>
          <w:trHeight w:val="1410"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0492852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581" w:type="pct"/>
            <w:tcBorders>
              <w:top w:val="nil"/>
              <w:left w:val="nil"/>
              <w:bottom w:val="single" w:color="auto" w:sz="4" w:space="0"/>
              <w:right w:val="single" w:color="auto" w:sz="4" w:space="0"/>
            </w:tcBorders>
            <w:shd w:val="clear" w:color="auto" w:fill="auto"/>
            <w:vAlign w:val="center"/>
          </w:tcPr>
          <w:p w14:paraId="040BDBD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基础资源管理</w:t>
            </w:r>
          </w:p>
        </w:tc>
        <w:tc>
          <w:tcPr>
            <w:tcW w:w="3099" w:type="pct"/>
            <w:tcBorders>
              <w:top w:val="nil"/>
              <w:left w:val="nil"/>
              <w:bottom w:val="single" w:color="auto" w:sz="4" w:space="0"/>
              <w:right w:val="single" w:color="auto" w:sz="4" w:space="0"/>
            </w:tcBorders>
            <w:shd w:val="clear" w:color="auto" w:fill="auto"/>
            <w:vAlign w:val="center"/>
          </w:tcPr>
          <w:p w14:paraId="55FDFF21">
            <w:pPr>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行政结构信息：</w:t>
            </w:r>
          </w:p>
          <w:p w14:paraId="0C317307">
            <w:pPr>
              <w:ind w:left="216"/>
              <w:rPr>
                <w:rFonts w:hint="eastAsia" w:ascii="宋体" w:hAnsi="宋体" w:eastAsia="宋体" w:cs="宋体"/>
                <w:kern w:val="0"/>
                <w:sz w:val="20"/>
                <w:szCs w:val="20"/>
              </w:rPr>
            </w:pPr>
            <w:r>
              <w:rPr>
                <w:rFonts w:hint="eastAsia" w:ascii="宋体" w:hAnsi="宋体" w:eastAsia="宋体" w:cs="宋体"/>
                <w:kern w:val="0"/>
                <w:sz w:val="20"/>
                <w:szCs w:val="20"/>
              </w:rPr>
              <w:t>录入学校信息、校区信息、单位信息；单位信息包括行政处室及下属科室信息、院系及下属教研室信息；支持按照树状结构显示学校行政结构示意图。</w:t>
            </w:r>
          </w:p>
          <w:p w14:paraId="60168572">
            <w:pPr>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专业信息：</w:t>
            </w:r>
          </w:p>
          <w:p w14:paraId="5B0A3F34">
            <w:pPr>
              <w:ind w:left="216"/>
              <w:rPr>
                <w:rFonts w:hint="eastAsia" w:ascii="宋体" w:hAnsi="宋体" w:eastAsia="宋体" w:cs="宋体"/>
                <w:kern w:val="0"/>
                <w:sz w:val="20"/>
                <w:szCs w:val="20"/>
              </w:rPr>
            </w:pPr>
            <w:r>
              <w:rPr>
                <w:rFonts w:hint="eastAsia" w:ascii="宋体" w:hAnsi="宋体" w:eastAsia="宋体" w:cs="宋体"/>
                <w:kern w:val="0"/>
                <w:sz w:val="20"/>
                <w:szCs w:val="20"/>
              </w:rPr>
              <w:t>建立学校的专业信息总库，可动态关联学校教务系统专业信息。</w:t>
            </w:r>
          </w:p>
          <w:p w14:paraId="33279119">
            <w:pPr>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职称信息：</w:t>
            </w:r>
          </w:p>
          <w:p w14:paraId="0FF63271">
            <w:pPr>
              <w:ind w:left="216"/>
              <w:rPr>
                <w:rFonts w:hint="eastAsia" w:ascii="宋体" w:hAnsi="宋体" w:eastAsia="宋体" w:cs="宋体"/>
                <w:kern w:val="0"/>
                <w:sz w:val="20"/>
                <w:szCs w:val="20"/>
              </w:rPr>
            </w:pPr>
            <w:r>
              <w:rPr>
                <w:rFonts w:hint="eastAsia" w:ascii="宋体" w:hAnsi="宋体" w:eastAsia="宋体" w:cs="宋体"/>
                <w:kern w:val="0"/>
                <w:sz w:val="20"/>
                <w:szCs w:val="20"/>
              </w:rPr>
              <w:t>建立学校的各类职称信息总库。</w:t>
            </w:r>
          </w:p>
          <w:p w14:paraId="72F9E207">
            <w:pPr>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教职工信息：</w:t>
            </w:r>
          </w:p>
          <w:p w14:paraId="77612398">
            <w:pPr>
              <w:ind w:left="216"/>
              <w:rPr>
                <w:rFonts w:hint="eastAsia" w:ascii="宋体" w:hAnsi="宋体" w:eastAsia="宋体" w:cs="宋体"/>
                <w:kern w:val="0"/>
                <w:sz w:val="20"/>
                <w:szCs w:val="20"/>
              </w:rPr>
            </w:pPr>
            <w:r>
              <w:rPr>
                <w:rFonts w:hint="eastAsia" w:ascii="宋体" w:hAnsi="宋体" w:eastAsia="宋体" w:cs="宋体"/>
                <w:kern w:val="0"/>
                <w:sz w:val="20"/>
                <w:szCs w:val="20"/>
              </w:rPr>
              <w:t>可录入教职工基本信息、学历学位等基础信息，可动态关联学校人事信息。</w:t>
            </w:r>
          </w:p>
          <w:p w14:paraId="649F8490">
            <w:pPr>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专家信息：</w:t>
            </w:r>
          </w:p>
          <w:p w14:paraId="56AD7C60">
            <w:pPr>
              <w:ind w:left="216"/>
              <w:rPr>
                <w:rFonts w:hint="eastAsia" w:ascii="宋体" w:hAnsi="宋体" w:eastAsia="宋体" w:cs="宋体"/>
                <w:kern w:val="0"/>
                <w:sz w:val="20"/>
                <w:szCs w:val="20"/>
              </w:rPr>
            </w:pPr>
            <w:r>
              <w:rPr>
                <w:rFonts w:hint="eastAsia" w:ascii="宋体" w:hAnsi="宋体" w:eastAsia="宋体" w:cs="宋体"/>
                <w:kern w:val="0"/>
                <w:sz w:val="20"/>
                <w:szCs w:val="20"/>
              </w:rPr>
              <w:t>记录专家的姓名、年龄、性别、职称、职务、学位、学历、学科方向、学术专长和联系方式等信息。同时记录专家的项目参与历史记录及专家的级别。人员分权限进入科研系统进行权限范围内的操作。系统同时将专家与项目实现内部关联。可以方便的查询到专家信息、专家参与评审的项目，以及专家对每个项目的评审意见等。</w:t>
            </w:r>
          </w:p>
          <w:p w14:paraId="58895693">
            <w:pPr>
              <w:widowControl/>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成果标准信息：</w:t>
            </w:r>
          </w:p>
          <w:p w14:paraId="27CB2E3B">
            <w:pPr>
              <w:widowControl/>
              <w:ind w:left="216"/>
              <w:rPr>
                <w:rFonts w:hint="eastAsia" w:ascii="宋体" w:hAnsi="宋体" w:eastAsia="宋体" w:cs="宋体"/>
                <w:kern w:val="0"/>
                <w:sz w:val="20"/>
                <w:szCs w:val="20"/>
              </w:rPr>
            </w:pPr>
            <w:r>
              <w:rPr>
                <w:rFonts w:hint="eastAsia" w:ascii="宋体" w:hAnsi="宋体" w:eastAsia="宋体" w:cs="宋体"/>
                <w:kern w:val="0"/>
                <w:sz w:val="20"/>
                <w:szCs w:val="20"/>
              </w:rPr>
              <w:t>针对科研课题、学术论文、专利、成果获奖等各级各类的科研成果等级和认定标准进行管理及维护。</w:t>
            </w:r>
          </w:p>
          <w:p w14:paraId="38B94555">
            <w:pPr>
              <w:widowControl/>
              <w:numPr>
                <w:ilvl w:val="0"/>
                <w:numId w:val="3"/>
              </w:numPr>
              <w:rPr>
                <w:rFonts w:hint="eastAsia" w:ascii="宋体" w:hAnsi="宋体" w:eastAsia="宋体" w:cs="宋体"/>
                <w:kern w:val="0"/>
                <w:sz w:val="20"/>
                <w:szCs w:val="20"/>
              </w:rPr>
            </w:pPr>
            <w:r>
              <w:rPr>
                <w:rFonts w:hint="eastAsia" w:ascii="宋体" w:hAnsi="宋体" w:eastAsia="宋体" w:cs="宋体"/>
                <w:kern w:val="0"/>
                <w:sz w:val="20"/>
                <w:szCs w:val="20"/>
              </w:rPr>
              <w:t>标签管理：</w:t>
            </w:r>
          </w:p>
          <w:p w14:paraId="36A594B0">
            <w:pPr>
              <w:ind w:left="216"/>
              <w:rPr>
                <w:rFonts w:hint="eastAsia" w:ascii="宋体" w:hAnsi="宋体" w:eastAsia="宋体" w:cs="宋体"/>
                <w:kern w:val="0"/>
                <w:sz w:val="20"/>
                <w:szCs w:val="20"/>
              </w:rPr>
            </w:pPr>
            <w:r>
              <w:rPr>
                <w:rFonts w:hint="eastAsia" w:ascii="宋体" w:hAnsi="宋体" w:eastAsia="宋体" w:cs="宋体"/>
                <w:kern w:val="0"/>
                <w:sz w:val="20"/>
                <w:szCs w:val="20"/>
              </w:rPr>
              <w:t>提供科研成果标签的自定义功能，如：设置自科、社科、教改等成果标签。提供用户自定义增加、修改标签，设置标签对象。</w:t>
            </w:r>
          </w:p>
        </w:tc>
        <w:tc>
          <w:tcPr>
            <w:tcW w:w="265" w:type="pct"/>
            <w:tcBorders>
              <w:top w:val="nil"/>
              <w:left w:val="nil"/>
              <w:bottom w:val="single" w:color="auto" w:sz="4" w:space="0"/>
              <w:right w:val="single" w:color="auto" w:sz="4" w:space="0"/>
            </w:tcBorders>
            <w:shd w:val="clear" w:color="auto" w:fill="auto"/>
            <w:vAlign w:val="center"/>
          </w:tcPr>
          <w:p w14:paraId="0945F05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5B2304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6961AEB0">
            <w:pPr>
              <w:widowControl/>
              <w:jc w:val="center"/>
              <w:rPr>
                <w:rFonts w:hint="eastAsia" w:ascii="宋体" w:hAnsi="宋体" w:eastAsia="宋体" w:cs="宋体"/>
                <w:kern w:val="0"/>
                <w:sz w:val="20"/>
                <w:szCs w:val="20"/>
              </w:rPr>
            </w:pPr>
          </w:p>
        </w:tc>
      </w:tr>
      <w:tr w14:paraId="753C2921">
        <w:tblPrEx>
          <w:tblCellMar>
            <w:top w:w="0" w:type="dxa"/>
            <w:left w:w="108" w:type="dxa"/>
            <w:bottom w:w="0" w:type="dxa"/>
            <w:right w:w="108" w:type="dxa"/>
          </w:tblCellMar>
        </w:tblPrEx>
        <w:trPr>
          <w:trHeight w:val="376"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7D7CF8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581" w:type="pct"/>
            <w:tcBorders>
              <w:top w:val="nil"/>
              <w:left w:val="nil"/>
              <w:bottom w:val="single" w:color="auto" w:sz="4" w:space="0"/>
              <w:right w:val="single" w:color="auto" w:sz="4" w:space="0"/>
            </w:tcBorders>
            <w:shd w:val="clear" w:color="auto" w:fill="auto"/>
            <w:vAlign w:val="center"/>
          </w:tcPr>
          <w:p w14:paraId="3E4741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系统管理</w:t>
            </w:r>
          </w:p>
        </w:tc>
        <w:tc>
          <w:tcPr>
            <w:tcW w:w="3099" w:type="pct"/>
            <w:tcBorders>
              <w:top w:val="nil"/>
              <w:left w:val="nil"/>
              <w:bottom w:val="single" w:color="auto" w:sz="4" w:space="0"/>
              <w:right w:val="single" w:color="auto" w:sz="4" w:space="0"/>
            </w:tcBorders>
            <w:shd w:val="clear" w:color="auto" w:fill="auto"/>
            <w:vAlign w:val="center"/>
          </w:tcPr>
          <w:p w14:paraId="4EBB251B">
            <w:pPr>
              <w:widowControl/>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数据管理：</w:t>
            </w:r>
          </w:p>
          <w:p w14:paraId="7C8B5E5D">
            <w:pPr>
              <w:widowControl/>
              <w:ind w:left="360"/>
              <w:rPr>
                <w:rFonts w:hint="eastAsia" w:ascii="宋体" w:hAnsi="宋体" w:eastAsia="宋体" w:cs="宋体"/>
                <w:kern w:val="0"/>
                <w:sz w:val="20"/>
                <w:szCs w:val="20"/>
              </w:rPr>
            </w:pPr>
            <w:r>
              <w:rPr>
                <w:rFonts w:hint="eastAsia" w:ascii="宋体" w:hAnsi="宋体" w:eastAsia="宋体" w:cs="宋体"/>
                <w:kern w:val="0"/>
                <w:sz w:val="20"/>
                <w:szCs w:val="20"/>
              </w:rPr>
              <w:t>在系统初始数据字典（依据《国家教育管理信息化标准》）的基础上，允许用户根据需要自定义扩展数据字典。</w:t>
            </w:r>
          </w:p>
          <w:p w14:paraId="09B002A9">
            <w:pPr>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组织机构管理：</w:t>
            </w:r>
          </w:p>
          <w:p w14:paraId="4062BE06">
            <w:pPr>
              <w:ind w:left="360"/>
              <w:rPr>
                <w:rFonts w:hint="eastAsia" w:ascii="宋体" w:hAnsi="宋体" w:eastAsia="宋体" w:cs="宋体"/>
                <w:kern w:val="0"/>
                <w:sz w:val="20"/>
                <w:szCs w:val="20"/>
              </w:rPr>
            </w:pPr>
            <w:r>
              <w:rPr>
                <w:rFonts w:hint="eastAsia" w:ascii="宋体" w:hAnsi="宋体" w:eastAsia="宋体" w:cs="宋体"/>
                <w:kern w:val="0"/>
                <w:sz w:val="20"/>
                <w:szCs w:val="20"/>
              </w:rPr>
              <w:t>对本单位的机构进行管理，允许多级分类，允许设置分支机构、部门、研究组等。不限制级别的深度。</w:t>
            </w:r>
          </w:p>
          <w:p w14:paraId="2720C19A">
            <w:pPr>
              <w:widowControl/>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用户管理：</w:t>
            </w:r>
          </w:p>
          <w:p w14:paraId="2EAFE71F">
            <w:pPr>
              <w:widowControl/>
              <w:ind w:left="360"/>
              <w:rPr>
                <w:rFonts w:hint="eastAsia" w:ascii="宋体" w:hAnsi="宋体" w:eastAsia="宋体" w:cs="宋体"/>
                <w:kern w:val="0"/>
                <w:sz w:val="20"/>
                <w:szCs w:val="20"/>
              </w:rPr>
            </w:pPr>
            <w:r>
              <w:rPr>
                <w:rFonts w:hint="eastAsia" w:ascii="宋体" w:hAnsi="宋体" w:eastAsia="宋体" w:cs="宋体"/>
                <w:kern w:val="0"/>
                <w:sz w:val="20"/>
                <w:szCs w:val="20"/>
              </w:rPr>
              <w:t>维护系统用户信息，分配用户操作权限，提供按照角色对权限进行分配，能按照校区、院系、专业设置用户的数据权限范围。</w:t>
            </w:r>
          </w:p>
          <w:p w14:paraId="2D425040">
            <w:pPr>
              <w:widowControl/>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角色管理：</w:t>
            </w:r>
          </w:p>
          <w:p w14:paraId="640D85BC">
            <w:pPr>
              <w:widowControl/>
              <w:ind w:left="360"/>
              <w:rPr>
                <w:rFonts w:hint="eastAsia" w:ascii="宋体" w:hAnsi="宋体" w:eastAsia="宋体" w:cs="宋体"/>
                <w:kern w:val="0"/>
                <w:sz w:val="20"/>
                <w:szCs w:val="20"/>
              </w:rPr>
            </w:pPr>
            <w:r>
              <w:rPr>
                <w:rFonts w:hint="eastAsia" w:ascii="宋体" w:hAnsi="宋体" w:eastAsia="宋体" w:cs="宋体"/>
                <w:kern w:val="0"/>
                <w:sz w:val="20"/>
                <w:szCs w:val="20"/>
              </w:rPr>
              <w:t>灵活定义系统中的各类角色，之后对角色分配权限，每个人员可以有多种角色。本系统的角色操作权限可细到按钮级。</w:t>
            </w:r>
          </w:p>
          <w:p w14:paraId="75D05902">
            <w:pPr>
              <w:widowControl/>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日志管理：</w:t>
            </w:r>
          </w:p>
          <w:p w14:paraId="54F38827">
            <w:pPr>
              <w:widowControl/>
              <w:ind w:left="360"/>
              <w:rPr>
                <w:rFonts w:hint="eastAsia" w:ascii="宋体" w:hAnsi="宋体" w:eastAsia="宋体" w:cs="宋体"/>
                <w:kern w:val="0"/>
                <w:sz w:val="20"/>
                <w:szCs w:val="20"/>
              </w:rPr>
            </w:pPr>
            <w:r>
              <w:rPr>
                <w:rFonts w:ascii="宋体" w:hAnsi="宋体" w:eastAsia="宋体" w:cs="宋体"/>
                <w:kern w:val="0"/>
                <w:sz w:val="20"/>
                <w:szCs w:val="20"/>
              </w:rPr>
              <w:t>记录操作人、操作时间、登录IP、具体的操作内容等信息</w:t>
            </w:r>
            <w:r>
              <w:rPr>
                <w:rFonts w:hint="eastAsia" w:ascii="宋体" w:hAnsi="宋体" w:eastAsia="宋体" w:cs="宋体"/>
                <w:kern w:val="0"/>
                <w:sz w:val="20"/>
                <w:szCs w:val="20"/>
              </w:rPr>
              <w:t>，提供详细的用户操作日志查询、系统版本更新日志查询功能。</w:t>
            </w:r>
          </w:p>
          <w:p w14:paraId="1DBB25B3">
            <w:pPr>
              <w:widowControl/>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参数配置：</w:t>
            </w:r>
          </w:p>
          <w:p w14:paraId="2FA1FC3A">
            <w:pPr>
              <w:widowControl/>
              <w:ind w:left="360"/>
              <w:rPr>
                <w:rFonts w:hint="eastAsia" w:ascii="宋体" w:hAnsi="宋体" w:eastAsia="宋体" w:cs="宋体"/>
                <w:kern w:val="0"/>
                <w:sz w:val="20"/>
                <w:szCs w:val="20"/>
              </w:rPr>
            </w:pPr>
            <w:r>
              <w:rPr>
                <w:rFonts w:hint="eastAsia" w:ascii="宋体" w:hAnsi="宋体" w:eastAsia="宋体" w:cs="宋体"/>
                <w:kern w:val="0"/>
                <w:sz w:val="20"/>
                <w:szCs w:val="20"/>
              </w:rPr>
              <w:t>可以根据需要，在此处对录入界面中选择框的各类参数进行设置，参数设置完成后，即刻生效。</w:t>
            </w:r>
          </w:p>
          <w:p w14:paraId="7455F962">
            <w:pPr>
              <w:widowControl/>
              <w:numPr>
                <w:ilvl w:val="0"/>
                <w:numId w:val="4"/>
              </w:numPr>
              <w:rPr>
                <w:rFonts w:hint="eastAsia" w:ascii="宋体" w:hAnsi="宋体" w:eastAsia="宋体" w:cs="宋体"/>
                <w:kern w:val="0"/>
                <w:sz w:val="20"/>
                <w:szCs w:val="20"/>
              </w:rPr>
            </w:pPr>
            <w:r>
              <w:rPr>
                <w:rFonts w:hint="eastAsia" w:ascii="宋体" w:hAnsi="宋体" w:eastAsia="宋体" w:cs="宋体"/>
                <w:kern w:val="0"/>
                <w:sz w:val="20"/>
                <w:szCs w:val="20"/>
              </w:rPr>
              <w:t>发布通知公告：</w:t>
            </w:r>
          </w:p>
          <w:p w14:paraId="214D2D46">
            <w:pPr>
              <w:widowControl/>
              <w:ind w:left="360"/>
              <w:rPr>
                <w:rFonts w:hint="eastAsia" w:ascii="宋体" w:hAnsi="宋体" w:eastAsia="宋体" w:cs="宋体"/>
                <w:kern w:val="0"/>
                <w:sz w:val="20"/>
                <w:szCs w:val="20"/>
              </w:rPr>
            </w:pPr>
            <w:r>
              <w:rPr>
                <w:rFonts w:hint="eastAsia" w:ascii="宋体" w:hAnsi="宋体" w:eastAsia="宋体" w:cs="宋体"/>
                <w:kern w:val="0"/>
                <w:sz w:val="20"/>
                <w:szCs w:val="20"/>
              </w:rPr>
              <w:t>可自定义通知公告的类别。</w:t>
            </w:r>
          </w:p>
          <w:p w14:paraId="28CE95E5">
            <w:pPr>
              <w:widowControl/>
              <w:rPr>
                <w:rFonts w:hint="eastAsia"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w:t>
            </w:r>
            <w:r>
              <w:rPr>
                <w:rFonts w:hint="eastAsia" w:ascii="宋体" w:hAnsi="宋体" w:eastAsia="宋体" w:cs="宋体"/>
                <w:kern w:val="0"/>
                <w:sz w:val="20"/>
                <w:szCs w:val="20"/>
              </w:rPr>
              <w:t xml:space="preserve"> 对用户管理、成果管理、经费管理、安全管理模块，提供硬盘序列号绑定功能</w:t>
            </w:r>
          </w:p>
          <w:p w14:paraId="18594644">
            <w:pPr>
              <w:widowControl/>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 xml:space="preserve">. </w:t>
            </w:r>
            <w:r>
              <w:rPr>
                <w:rFonts w:hint="eastAsia" w:ascii="宋体" w:hAnsi="宋体" w:eastAsia="宋体" w:cs="宋体"/>
                <w:kern w:val="0"/>
                <w:sz w:val="20"/>
                <w:szCs w:val="20"/>
              </w:rPr>
              <w:t>提供文件上传路径设置功能，能自定义设置用户照片、科研制度等文件在服务器的保存路径；</w:t>
            </w:r>
          </w:p>
          <w:p w14:paraId="33E94A8A">
            <w:pPr>
              <w:widowControl/>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 xml:space="preserve">0. </w:t>
            </w:r>
            <w:r>
              <w:rPr>
                <w:rFonts w:hint="eastAsia" w:ascii="宋体" w:hAnsi="宋体" w:eastAsia="宋体" w:cs="宋体"/>
                <w:kern w:val="0"/>
                <w:sz w:val="20"/>
                <w:szCs w:val="20"/>
              </w:rPr>
              <w:t>提供系统功能操作及维护相关问题的在线反馈与答复的功能；</w:t>
            </w:r>
          </w:p>
          <w:p w14:paraId="17DD4D94">
            <w:pPr>
              <w:widowControl/>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 xml:space="preserve">1. </w:t>
            </w:r>
            <w:r>
              <w:rPr>
                <w:rFonts w:hint="eastAsia" w:ascii="宋体" w:hAnsi="宋体" w:eastAsia="宋体" w:cs="宋体"/>
                <w:kern w:val="0"/>
                <w:sz w:val="20"/>
                <w:szCs w:val="20"/>
              </w:rPr>
              <w:t>系统提供用户本次登录后所使用过的模块全部通过系统内部标签页的方式进行展示并快速切换，用户主界面能展示科研活动进度时间轴。</w:t>
            </w:r>
          </w:p>
        </w:tc>
        <w:tc>
          <w:tcPr>
            <w:tcW w:w="265" w:type="pct"/>
            <w:tcBorders>
              <w:top w:val="nil"/>
              <w:left w:val="nil"/>
              <w:bottom w:val="single" w:color="auto" w:sz="4" w:space="0"/>
              <w:right w:val="single" w:color="auto" w:sz="4" w:space="0"/>
            </w:tcBorders>
            <w:shd w:val="clear" w:color="auto" w:fill="auto"/>
            <w:vAlign w:val="center"/>
          </w:tcPr>
          <w:p w14:paraId="1FF5D82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3571D1D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6A8B189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9313719">
        <w:tblPrEx>
          <w:tblCellMar>
            <w:top w:w="0" w:type="dxa"/>
            <w:left w:w="108" w:type="dxa"/>
            <w:bottom w:w="0" w:type="dxa"/>
            <w:right w:w="108" w:type="dxa"/>
          </w:tblCellMar>
        </w:tblPrEx>
        <w:trPr>
          <w:trHeight w:val="71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02DEFC">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二、已建系统集成与对接</w:t>
            </w:r>
          </w:p>
        </w:tc>
      </w:tr>
      <w:tr w14:paraId="653B7A23">
        <w:tblPrEx>
          <w:tblCellMar>
            <w:top w:w="0" w:type="dxa"/>
            <w:left w:w="108" w:type="dxa"/>
            <w:bottom w:w="0" w:type="dxa"/>
            <w:right w:w="108" w:type="dxa"/>
          </w:tblCellMar>
        </w:tblPrEx>
        <w:trPr>
          <w:trHeight w:val="1177"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601B93D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581" w:type="pct"/>
            <w:tcBorders>
              <w:top w:val="nil"/>
              <w:left w:val="nil"/>
              <w:bottom w:val="single" w:color="auto" w:sz="4" w:space="0"/>
              <w:right w:val="single" w:color="auto" w:sz="4" w:space="0"/>
            </w:tcBorders>
            <w:shd w:val="clear" w:color="auto" w:fill="auto"/>
            <w:vAlign w:val="center"/>
          </w:tcPr>
          <w:p w14:paraId="1D03B6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系统集成   平台对接</w:t>
            </w:r>
          </w:p>
        </w:tc>
        <w:tc>
          <w:tcPr>
            <w:tcW w:w="3099" w:type="pct"/>
            <w:tcBorders>
              <w:top w:val="nil"/>
              <w:left w:val="nil"/>
              <w:bottom w:val="single" w:color="auto" w:sz="4" w:space="0"/>
              <w:right w:val="single" w:color="auto" w:sz="4" w:space="0"/>
            </w:tcBorders>
            <w:shd w:val="clear" w:color="auto" w:fill="auto"/>
            <w:vAlign w:val="center"/>
          </w:tcPr>
          <w:p w14:paraId="327E834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按照学校智慧校园统一信息标准提供接口，完成信息标准的对标。遵循统一对接规范完成与现有统一用户管理平台、统一身份认证平台、PC端信息门户和微信小程序的集成，对接用户信息，</w:t>
            </w:r>
            <w:r>
              <w:rPr>
                <w:rFonts w:ascii="宋体" w:hAnsi="宋体" w:eastAsia="宋体" w:cs="宋体"/>
                <w:kern w:val="0"/>
                <w:sz w:val="20"/>
                <w:szCs w:val="20"/>
              </w:rPr>
              <w:t>实现智慧校园门户统一登录</w:t>
            </w:r>
            <w:r>
              <w:rPr>
                <w:rFonts w:hint="eastAsia" w:ascii="宋体" w:hAnsi="宋体" w:eastAsia="宋体" w:cs="宋体"/>
                <w:kern w:val="0"/>
                <w:sz w:val="20"/>
                <w:szCs w:val="20"/>
              </w:rPr>
              <w:t>。支持数据库视图、API接口等方式同步数据到学校数据中心，提供数据字典，配合做好全量化数据采集与治理。</w:t>
            </w:r>
          </w:p>
        </w:tc>
        <w:tc>
          <w:tcPr>
            <w:tcW w:w="265" w:type="pct"/>
            <w:tcBorders>
              <w:top w:val="nil"/>
              <w:left w:val="nil"/>
              <w:bottom w:val="single" w:color="auto" w:sz="4" w:space="0"/>
              <w:right w:val="single" w:color="auto" w:sz="4" w:space="0"/>
            </w:tcBorders>
            <w:shd w:val="clear" w:color="auto" w:fill="auto"/>
            <w:vAlign w:val="center"/>
          </w:tcPr>
          <w:p w14:paraId="3A7F2F0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3C3B2F0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4586F39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CE1060D">
        <w:tblPrEx>
          <w:tblCellMar>
            <w:top w:w="0" w:type="dxa"/>
            <w:left w:w="108" w:type="dxa"/>
            <w:bottom w:w="0" w:type="dxa"/>
            <w:right w:w="108" w:type="dxa"/>
          </w:tblCellMar>
        </w:tblPrEx>
        <w:trPr>
          <w:trHeight w:val="762" w:hRule="atLeast"/>
        </w:trPr>
        <w:tc>
          <w:tcPr>
            <w:tcW w:w="5000" w:type="pct"/>
            <w:gridSpan w:val="6"/>
            <w:tcBorders>
              <w:top w:val="nil"/>
              <w:left w:val="single" w:color="auto" w:sz="4" w:space="0"/>
              <w:bottom w:val="single" w:color="auto" w:sz="4" w:space="0"/>
              <w:right w:val="single" w:color="auto" w:sz="4" w:space="0"/>
            </w:tcBorders>
            <w:shd w:val="clear" w:color="auto" w:fill="auto"/>
            <w:noWrap/>
            <w:vAlign w:val="center"/>
          </w:tcPr>
          <w:p w14:paraId="35C976D8">
            <w:pPr>
              <w:widowControl/>
              <w:jc w:val="left"/>
              <w:rPr>
                <w:rFonts w:hint="eastAsia" w:ascii="宋体" w:hAnsi="宋体" w:eastAsia="宋体" w:cs="宋体"/>
                <w:kern w:val="0"/>
                <w:sz w:val="20"/>
                <w:szCs w:val="20"/>
              </w:rPr>
            </w:pPr>
            <w:r>
              <w:rPr>
                <w:rFonts w:hint="eastAsia" w:ascii="宋体" w:hAnsi="宋体" w:eastAsia="宋体" w:cs="宋体"/>
                <w:b/>
                <w:bCs/>
                <w:kern w:val="0"/>
                <w:sz w:val="20"/>
                <w:szCs w:val="20"/>
              </w:rPr>
              <w:t>三、数据处理</w:t>
            </w:r>
          </w:p>
        </w:tc>
      </w:tr>
      <w:tr w14:paraId="0C82AE86">
        <w:tblPrEx>
          <w:tblCellMar>
            <w:top w:w="0" w:type="dxa"/>
            <w:left w:w="108" w:type="dxa"/>
            <w:bottom w:w="0" w:type="dxa"/>
            <w:right w:w="108" w:type="dxa"/>
          </w:tblCellMar>
        </w:tblPrEx>
        <w:trPr>
          <w:trHeight w:val="657" w:hRule="atLeast"/>
        </w:trPr>
        <w:tc>
          <w:tcPr>
            <w:tcW w:w="352" w:type="pct"/>
            <w:tcBorders>
              <w:top w:val="nil"/>
              <w:left w:val="single" w:color="auto" w:sz="4" w:space="0"/>
              <w:bottom w:val="single" w:color="auto" w:sz="4" w:space="0"/>
              <w:right w:val="single" w:color="auto" w:sz="4" w:space="0"/>
            </w:tcBorders>
            <w:shd w:val="clear" w:color="auto" w:fill="auto"/>
            <w:noWrap/>
            <w:vAlign w:val="center"/>
          </w:tcPr>
          <w:p w14:paraId="2FB1E27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581" w:type="pct"/>
            <w:tcBorders>
              <w:top w:val="nil"/>
              <w:left w:val="nil"/>
              <w:bottom w:val="single" w:color="auto" w:sz="4" w:space="0"/>
              <w:right w:val="single" w:color="auto" w:sz="4" w:space="0"/>
            </w:tcBorders>
            <w:shd w:val="clear" w:color="auto" w:fill="auto"/>
            <w:vAlign w:val="center"/>
          </w:tcPr>
          <w:p w14:paraId="5648A1A0">
            <w:pPr>
              <w:widowControl/>
              <w:jc w:val="center"/>
              <w:rPr>
                <w:rFonts w:hint="eastAsia" w:ascii="宋体" w:hAnsi="宋体" w:eastAsia="宋体" w:cs="宋体"/>
                <w:color w:val="000000"/>
                <w:sz w:val="20"/>
                <w:szCs w:val="20"/>
              </w:rPr>
            </w:pPr>
            <w:r>
              <w:rPr>
                <w:rFonts w:ascii="宋体" w:hAnsi="宋体" w:eastAsia="宋体" w:cs="宋体"/>
                <w:kern w:val="0"/>
                <w:sz w:val="20"/>
                <w:szCs w:val="20"/>
              </w:rPr>
              <w:t>数据处理</w:t>
            </w:r>
          </w:p>
        </w:tc>
        <w:tc>
          <w:tcPr>
            <w:tcW w:w="3099" w:type="pct"/>
            <w:tcBorders>
              <w:top w:val="nil"/>
              <w:left w:val="nil"/>
              <w:bottom w:val="single" w:color="auto" w:sz="4" w:space="0"/>
              <w:right w:val="single" w:color="auto" w:sz="4" w:space="0"/>
            </w:tcBorders>
            <w:shd w:val="clear" w:color="auto" w:fill="auto"/>
            <w:vAlign w:val="center"/>
          </w:tcPr>
          <w:p w14:paraId="3B6D6725">
            <w:pPr>
              <w:widowControl/>
              <w:jc w:val="left"/>
              <w:rPr>
                <w:rFonts w:hint="eastAsia" w:ascii="宋体" w:hAnsi="宋体" w:eastAsia="宋体" w:cs="宋体"/>
                <w:color w:val="000000"/>
                <w:sz w:val="20"/>
                <w:szCs w:val="20"/>
              </w:rPr>
            </w:pPr>
            <w:r>
              <w:rPr>
                <w:rFonts w:ascii="宋体" w:hAnsi="宋体" w:eastAsia="宋体" w:cs="宋体"/>
                <w:color w:val="000000"/>
                <w:sz w:val="20"/>
                <w:szCs w:val="20"/>
              </w:rPr>
              <w:t>数据库初始化、历史数据清洗入库、基础数据入库。</w:t>
            </w:r>
          </w:p>
        </w:tc>
        <w:tc>
          <w:tcPr>
            <w:tcW w:w="265" w:type="pct"/>
            <w:tcBorders>
              <w:top w:val="nil"/>
              <w:left w:val="nil"/>
              <w:bottom w:val="single" w:color="auto" w:sz="4" w:space="0"/>
              <w:right w:val="single" w:color="auto" w:sz="4" w:space="0"/>
            </w:tcBorders>
            <w:shd w:val="clear" w:color="auto" w:fill="auto"/>
            <w:vAlign w:val="center"/>
          </w:tcPr>
          <w:p w14:paraId="6F1ABF1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52" w:type="pct"/>
            <w:tcBorders>
              <w:top w:val="nil"/>
              <w:left w:val="nil"/>
              <w:bottom w:val="single" w:color="auto" w:sz="4" w:space="0"/>
              <w:right w:val="single" w:color="auto" w:sz="4" w:space="0"/>
            </w:tcBorders>
            <w:shd w:val="clear" w:color="auto" w:fill="auto"/>
            <w:vAlign w:val="center"/>
          </w:tcPr>
          <w:p w14:paraId="7022E97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52" w:type="pct"/>
            <w:tcBorders>
              <w:top w:val="nil"/>
              <w:left w:val="nil"/>
              <w:bottom w:val="single" w:color="auto" w:sz="4" w:space="0"/>
              <w:right w:val="single" w:color="auto" w:sz="4" w:space="0"/>
            </w:tcBorders>
            <w:shd w:val="clear" w:color="auto" w:fill="auto"/>
            <w:vAlign w:val="center"/>
          </w:tcPr>
          <w:p w14:paraId="06628486">
            <w:pPr>
              <w:widowControl/>
              <w:jc w:val="center"/>
              <w:rPr>
                <w:rFonts w:hint="eastAsia" w:ascii="宋体" w:hAnsi="宋体" w:eastAsia="宋体" w:cs="宋体"/>
                <w:kern w:val="0"/>
                <w:sz w:val="20"/>
                <w:szCs w:val="20"/>
              </w:rPr>
            </w:pPr>
          </w:p>
        </w:tc>
      </w:tr>
      <w:tr w14:paraId="5471237A">
        <w:tblPrEx>
          <w:tblCellMar>
            <w:top w:w="0" w:type="dxa"/>
            <w:left w:w="108" w:type="dxa"/>
            <w:bottom w:w="0" w:type="dxa"/>
            <w:right w:w="108" w:type="dxa"/>
          </w:tblCellMar>
        </w:tblPrEx>
        <w:trPr>
          <w:trHeight w:val="600" w:hRule="atLeast"/>
        </w:trPr>
        <w:tc>
          <w:tcPr>
            <w:tcW w:w="9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6DF3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总         计</w:t>
            </w:r>
          </w:p>
        </w:tc>
        <w:tc>
          <w:tcPr>
            <w:tcW w:w="4068" w:type="pct"/>
            <w:gridSpan w:val="4"/>
            <w:tcBorders>
              <w:top w:val="single" w:color="auto" w:sz="4" w:space="0"/>
              <w:left w:val="nil"/>
              <w:bottom w:val="single" w:color="auto" w:sz="4" w:space="0"/>
              <w:right w:val="single" w:color="auto" w:sz="4" w:space="0"/>
            </w:tcBorders>
            <w:shd w:val="clear" w:color="auto" w:fill="auto"/>
            <w:noWrap/>
            <w:vAlign w:val="center"/>
          </w:tcPr>
          <w:p w14:paraId="712C882D">
            <w:pPr>
              <w:widowControl/>
              <w:ind w:firstLine="1400" w:firstLineChars="700"/>
              <w:rPr>
                <w:rFonts w:hint="eastAsia" w:ascii="宋体" w:hAnsi="宋体" w:eastAsia="宋体" w:cs="宋体"/>
                <w:kern w:val="0"/>
                <w:sz w:val="20"/>
                <w:szCs w:val="20"/>
              </w:rPr>
            </w:pPr>
            <w:r>
              <w:rPr>
                <w:rFonts w:hint="eastAsia" w:ascii="宋体" w:hAnsi="宋体" w:eastAsia="宋体" w:cs="宋体"/>
                <w:kern w:val="0"/>
                <w:sz w:val="20"/>
                <w:szCs w:val="20"/>
              </w:rPr>
              <w:t>一</w:t>
            </w:r>
            <w:r>
              <w:rPr>
                <w:rFonts w:ascii="宋体" w:hAnsi="宋体" w:eastAsia="宋体" w:cs="宋体"/>
                <w:kern w:val="0"/>
                <w:sz w:val="20"/>
                <w:szCs w:val="20"/>
              </w:rPr>
              <w:t xml:space="preserve">  +  </w:t>
            </w:r>
            <w:r>
              <w:rPr>
                <w:rFonts w:hint="eastAsia" w:ascii="宋体" w:hAnsi="宋体" w:eastAsia="宋体" w:cs="宋体"/>
                <w:kern w:val="0"/>
                <w:sz w:val="20"/>
                <w:szCs w:val="20"/>
              </w:rPr>
              <w:t xml:space="preserve">二 </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三 </w:t>
            </w:r>
            <w:r>
              <w:rPr>
                <w:rFonts w:ascii="宋体" w:hAnsi="宋体" w:eastAsia="宋体" w:cs="宋体"/>
                <w:kern w:val="0"/>
                <w:sz w:val="20"/>
                <w:szCs w:val="20"/>
              </w:rPr>
              <w:t xml:space="preserve"> </w:t>
            </w:r>
          </w:p>
        </w:tc>
      </w:tr>
    </w:tbl>
    <w:p w14:paraId="0713B4CF">
      <w:pPr>
        <w:pStyle w:val="9"/>
        <w:jc w:val="both"/>
        <w:rPr>
          <w:rFonts w:hint="eastAsia"/>
          <w:b/>
          <w:bCs/>
          <w:color w:val="000000"/>
          <w:sz w:val="28"/>
          <w:szCs w:val="28"/>
        </w:rPr>
      </w:pPr>
      <w:r>
        <w:rPr>
          <w:rFonts w:hint="eastAsia"/>
          <w:b/>
          <w:bCs/>
          <w:color w:val="000000"/>
          <w:sz w:val="28"/>
          <w:szCs w:val="28"/>
        </w:rPr>
        <w:t>四、商务需求</w:t>
      </w:r>
    </w:p>
    <w:tbl>
      <w:tblPr>
        <w:tblStyle w:val="10"/>
        <w:tblW w:w="10202" w:type="dxa"/>
        <w:tblInd w:w="-389" w:type="dxa"/>
        <w:tblLayout w:type="autofit"/>
        <w:tblCellMar>
          <w:top w:w="0" w:type="dxa"/>
          <w:left w:w="108" w:type="dxa"/>
          <w:bottom w:w="0" w:type="dxa"/>
          <w:right w:w="108" w:type="dxa"/>
        </w:tblCellMar>
      </w:tblPr>
      <w:tblGrid>
        <w:gridCol w:w="1547"/>
        <w:gridCol w:w="8655"/>
      </w:tblGrid>
      <w:tr w14:paraId="1823291E">
        <w:tblPrEx>
          <w:tblCellMar>
            <w:top w:w="0" w:type="dxa"/>
            <w:left w:w="108" w:type="dxa"/>
            <w:bottom w:w="0" w:type="dxa"/>
            <w:right w:w="108" w:type="dxa"/>
          </w:tblCellMar>
        </w:tblPrEx>
        <w:trPr>
          <w:trHeight w:val="519" w:hRule="atLeast"/>
        </w:trPr>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1FD3">
            <w:pPr>
              <w:spacing w:line="360" w:lineRule="auto"/>
              <w:jc w:val="center"/>
              <w:rPr>
                <w:rFonts w:hint="eastAsia" w:ascii="宋体" w:hAnsi="宋体" w:eastAsia="宋体" w:cs="宋体"/>
                <w:b/>
                <w:bCs/>
                <w:szCs w:val="21"/>
              </w:rPr>
            </w:pPr>
            <w:r>
              <w:rPr>
                <w:rFonts w:hint="eastAsia" w:ascii="宋体" w:hAnsi="宋体" w:eastAsia="宋体" w:cs="宋体"/>
                <w:b/>
                <w:bCs/>
                <w:szCs w:val="21"/>
              </w:rPr>
              <w:t>商务项目</w:t>
            </w:r>
          </w:p>
        </w:tc>
        <w:tc>
          <w:tcPr>
            <w:tcW w:w="8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A516">
            <w:pPr>
              <w:spacing w:line="360" w:lineRule="auto"/>
              <w:jc w:val="center"/>
              <w:rPr>
                <w:rFonts w:hint="eastAsia" w:ascii="宋体" w:hAnsi="宋体" w:eastAsia="宋体" w:cs="宋体"/>
                <w:b/>
                <w:bCs/>
                <w:szCs w:val="21"/>
              </w:rPr>
            </w:pPr>
            <w:r>
              <w:rPr>
                <w:rFonts w:hint="eastAsia" w:ascii="宋体" w:hAnsi="宋体" w:eastAsia="宋体" w:cs="宋体"/>
                <w:b/>
                <w:bCs/>
                <w:szCs w:val="21"/>
              </w:rPr>
              <w:t>商务要求</w:t>
            </w:r>
          </w:p>
        </w:tc>
      </w:tr>
      <w:tr w14:paraId="15DA495F">
        <w:tblPrEx>
          <w:tblCellMar>
            <w:top w:w="0" w:type="dxa"/>
            <w:left w:w="108" w:type="dxa"/>
            <w:bottom w:w="0" w:type="dxa"/>
            <w:right w:w="108" w:type="dxa"/>
          </w:tblCellMar>
        </w:tblPrEx>
        <w:trPr>
          <w:trHeight w:val="481" w:hRule="atLeast"/>
        </w:trPr>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1B7F">
            <w:pPr>
              <w:spacing w:line="360" w:lineRule="auto"/>
              <w:jc w:val="left"/>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现场演示</w:t>
            </w:r>
          </w:p>
        </w:tc>
        <w:tc>
          <w:tcPr>
            <w:tcW w:w="8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EBA2">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投标方提供</w:t>
            </w:r>
            <w:r>
              <w:rPr>
                <w:rFonts w:hint="eastAsia" w:ascii="宋体" w:hAnsi="宋体" w:eastAsia="宋体" w:cs="宋体"/>
                <w:szCs w:val="21"/>
              </w:rPr>
              <w:t>产品需按照</w:t>
            </w:r>
            <w:r>
              <w:rPr>
                <w:rFonts w:hint="eastAsia" w:ascii="宋体" w:hAnsi="宋体" w:eastAsia="宋体" w:cs="宋体"/>
                <w:szCs w:val="21"/>
                <w:lang w:val="en-US" w:eastAsia="zh-CN"/>
              </w:rPr>
              <w:t>采购方</w:t>
            </w:r>
            <w:r>
              <w:rPr>
                <w:rFonts w:hint="eastAsia" w:ascii="宋体" w:hAnsi="宋体" w:eastAsia="宋体" w:cs="宋体"/>
                <w:szCs w:val="21"/>
              </w:rPr>
              <w:t>提供</w:t>
            </w:r>
            <w:r>
              <w:rPr>
                <w:rFonts w:hint="eastAsia" w:ascii="宋体" w:hAnsi="宋体" w:eastAsia="宋体" w:cs="宋体"/>
                <w:szCs w:val="21"/>
                <w:lang w:val="en-US" w:eastAsia="zh-CN"/>
              </w:rPr>
              <w:t>的功能需求进行</w:t>
            </w:r>
            <w:r>
              <w:rPr>
                <w:rFonts w:hint="eastAsia" w:ascii="宋体" w:hAnsi="宋体" w:eastAsia="宋体" w:cs="宋体"/>
                <w:szCs w:val="21"/>
              </w:rPr>
              <w:t>现场演示。</w:t>
            </w:r>
          </w:p>
        </w:tc>
      </w:tr>
      <w:tr w14:paraId="2CB11B3D">
        <w:tblPrEx>
          <w:tblCellMar>
            <w:top w:w="0" w:type="dxa"/>
            <w:left w:w="108" w:type="dxa"/>
            <w:bottom w:w="0" w:type="dxa"/>
            <w:right w:w="108" w:type="dxa"/>
          </w:tblCellMar>
        </w:tblPrEx>
        <w:trPr>
          <w:trHeight w:val="1001" w:hRule="atLeast"/>
        </w:trPr>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78BB">
            <w:pPr>
              <w:spacing w:line="360" w:lineRule="auto"/>
              <w:jc w:val="left"/>
              <w:rPr>
                <w:rFonts w:hint="eastAsia" w:ascii="宋体" w:hAnsi="宋体" w:eastAsia="宋体" w:cs="宋体"/>
                <w:szCs w:val="21"/>
              </w:rPr>
            </w:pPr>
            <w:r>
              <w:rPr>
                <w:rFonts w:hint="eastAsia" w:ascii="宋体" w:hAnsi="宋体" w:eastAsia="宋体" w:cs="宋体"/>
                <w:szCs w:val="21"/>
              </w:rPr>
              <w:t>2、响应服务</w:t>
            </w:r>
          </w:p>
        </w:tc>
        <w:tc>
          <w:tcPr>
            <w:tcW w:w="8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A49E">
            <w:pPr>
              <w:spacing w:line="360" w:lineRule="auto"/>
              <w:jc w:val="left"/>
              <w:rPr>
                <w:rFonts w:hint="eastAsia" w:ascii="宋体" w:hAnsi="宋体" w:eastAsia="宋体" w:cs="宋体"/>
                <w:szCs w:val="21"/>
              </w:rPr>
            </w:pPr>
            <w:r>
              <w:rPr>
                <w:rFonts w:hint="eastAsia" w:ascii="宋体" w:hAnsi="宋体" w:eastAsia="宋体" w:cs="宋体"/>
                <w:szCs w:val="21"/>
              </w:rPr>
              <w:t>供应商须提供7*24小时售后服务，为确保不影响学院教学需要，如出现设备故障，无法通过电话解决的，须安排专业技术人员4小时内到达用户现场进行服务并解决问题。</w:t>
            </w:r>
          </w:p>
        </w:tc>
      </w:tr>
      <w:tr w14:paraId="539D5DC9">
        <w:tblPrEx>
          <w:tblCellMar>
            <w:top w:w="0" w:type="dxa"/>
            <w:left w:w="108" w:type="dxa"/>
            <w:bottom w:w="0" w:type="dxa"/>
            <w:right w:w="108" w:type="dxa"/>
          </w:tblCellMar>
        </w:tblPrEx>
        <w:trPr>
          <w:trHeight w:val="558" w:hRule="atLeast"/>
        </w:trPr>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1680">
            <w:pPr>
              <w:spacing w:line="360" w:lineRule="auto"/>
              <w:jc w:val="left"/>
              <w:rPr>
                <w:rFonts w:hint="eastAsia" w:ascii="宋体" w:hAnsi="宋体" w:eastAsia="宋体" w:cs="宋体"/>
                <w:szCs w:val="21"/>
              </w:rPr>
            </w:pPr>
            <w:r>
              <w:rPr>
                <w:rFonts w:hint="eastAsia" w:ascii="宋体" w:hAnsi="宋体" w:eastAsia="宋体" w:cs="宋体"/>
                <w:szCs w:val="21"/>
              </w:rPr>
              <w:t>3、支付方式和条件</w:t>
            </w:r>
          </w:p>
        </w:tc>
        <w:tc>
          <w:tcPr>
            <w:tcW w:w="8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F87A">
            <w:pPr>
              <w:spacing w:line="360" w:lineRule="auto"/>
              <w:jc w:val="left"/>
              <w:rPr>
                <w:rFonts w:hint="eastAsia" w:ascii="宋体" w:hAnsi="宋体" w:eastAsia="宋体" w:cs="宋体"/>
                <w:szCs w:val="21"/>
              </w:rPr>
            </w:pPr>
            <w:r>
              <w:rPr>
                <w:rFonts w:hint="eastAsia" w:ascii="宋体" w:hAnsi="宋体" w:eastAsia="宋体" w:cs="宋体"/>
                <w:szCs w:val="21"/>
              </w:rPr>
              <w:t xml:space="preserve">（1）交付时间：签订合同之日起10个日历天内交货。 </w:t>
            </w:r>
          </w:p>
          <w:p w14:paraId="0F5F3C6A">
            <w:pPr>
              <w:spacing w:line="360" w:lineRule="auto"/>
              <w:jc w:val="left"/>
              <w:rPr>
                <w:rFonts w:hint="eastAsia" w:ascii="宋体" w:hAnsi="宋体" w:eastAsia="宋体" w:cs="宋体"/>
                <w:szCs w:val="21"/>
              </w:rPr>
            </w:pPr>
            <w:r>
              <w:rPr>
                <w:rFonts w:hint="eastAsia" w:ascii="宋体" w:hAnsi="宋体" w:eastAsia="宋体" w:cs="宋体"/>
                <w:szCs w:val="21"/>
              </w:rPr>
              <w:t>（2）交付地点：采购人指定地点。</w:t>
            </w:r>
          </w:p>
        </w:tc>
      </w:tr>
      <w:tr w14:paraId="35A82763">
        <w:tblPrEx>
          <w:tblCellMar>
            <w:top w:w="0" w:type="dxa"/>
            <w:left w:w="108" w:type="dxa"/>
            <w:bottom w:w="0" w:type="dxa"/>
            <w:right w:w="108" w:type="dxa"/>
          </w:tblCellMar>
        </w:tblPrEx>
        <w:trPr>
          <w:trHeight w:val="4833" w:hRule="atLeast"/>
        </w:trPr>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D976">
            <w:pPr>
              <w:spacing w:line="360" w:lineRule="auto"/>
              <w:jc w:val="left"/>
              <w:rPr>
                <w:rFonts w:hint="eastAsia" w:ascii="宋体" w:hAnsi="宋体" w:eastAsia="宋体" w:cs="宋体"/>
                <w:szCs w:val="21"/>
              </w:rPr>
            </w:pPr>
            <w:r>
              <w:rPr>
                <w:rFonts w:hint="eastAsia" w:ascii="宋体" w:hAnsi="宋体" w:eastAsia="宋体" w:cs="宋体"/>
                <w:szCs w:val="21"/>
              </w:rPr>
              <w:t>4、其他要求</w:t>
            </w:r>
          </w:p>
        </w:tc>
        <w:tc>
          <w:tcPr>
            <w:tcW w:w="8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5DDC">
            <w:pPr>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rPr>
            </w:pPr>
            <w:bookmarkStart w:id="2" w:name="_GoBack"/>
            <w:r>
              <w:rPr>
                <w:rFonts w:hint="eastAsia" w:ascii="宋体" w:hAnsi="宋体" w:eastAsia="宋体" w:cs="宋体"/>
                <w:szCs w:val="21"/>
              </w:rPr>
              <w:t>（1）项目驻点实施：项目启动后按照规定的时间，派遣项目经理上门实施，直至系统正常运行；为保障学院顺利完成每年度科研数据的上报工作，在质保期内每年度都应安排专人协助学院完成数据上报。</w:t>
            </w:r>
          </w:p>
          <w:bookmarkEnd w:id="2"/>
          <w:p w14:paraId="46CF7A2B">
            <w:pPr>
              <w:keepNext w:val="0"/>
              <w:keepLines/>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rPr>
              <w:t>（2）需求开发服务：在质保期内为学院提供免费的个性需求开发服务，学院在使用过程中反馈的合理的功能需求，在技术可行的情况下必须尽最大努力满足和实现，保证系统能持续为广大师生提供更好的个性化的科研服务。</w:t>
            </w:r>
          </w:p>
          <w:p w14:paraId="208E94C5">
            <w:pPr>
              <w:spacing w:line="360" w:lineRule="auto"/>
              <w:jc w:val="left"/>
              <w:rPr>
                <w:rFonts w:hint="eastAsia" w:ascii="宋体" w:hAnsi="宋体" w:eastAsia="宋体" w:cs="宋体"/>
                <w:szCs w:val="21"/>
              </w:rPr>
            </w:pPr>
            <w:r>
              <w:rPr>
                <w:rFonts w:hint="eastAsia" w:ascii="宋体" w:hAnsi="宋体" w:eastAsia="宋体" w:cs="宋体"/>
                <w:szCs w:val="21"/>
              </w:rPr>
              <w:t>（3）版本升级服务：为学院提供免费的版本无限制升级（包括次版本和主版本），将产品每次版本升级都免费提供给学院并更新部署，为学院持续提供更好的功能和体验。</w:t>
            </w:r>
          </w:p>
          <w:p w14:paraId="18EE188B">
            <w:pPr>
              <w:spacing w:line="360" w:lineRule="auto"/>
              <w:jc w:val="left"/>
              <w:rPr>
                <w:rFonts w:hint="eastAsia" w:ascii="宋体" w:hAnsi="宋体" w:eastAsia="宋体" w:cs="宋体"/>
                <w:szCs w:val="21"/>
              </w:rPr>
            </w:pPr>
            <w:r>
              <w:rPr>
                <w:rFonts w:hint="eastAsia" w:ascii="宋体" w:hAnsi="宋体" w:eastAsia="宋体" w:cs="宋体"/>
                <w:szCs w:val="21"/>
              </w:rPr>
              <w:t>（4）系统如需对接校内其他系统，供应商应开放接口并免费提供对接服务；其次因系统本身产生的功能及安全问题应长期提供免费解决服务。</w:t>
            </w:r>
          </w:p>
          <w:p w14:paraId="01305136">
            <w:pPr>
              <w:spacing w:line="360" w:lineRule="auto"/>
              <w:jc w:val="left"/>
              <w:rPr>
                <w:rFonts w:hint="eastAsia"/>
              </w:rPr>
            </w:pPr>
            <w:r>
              <w:rPr>
                <w:rFonts w:hint="eastAsia" w:ascii="宋体" w:hAnsi="宋体" w:eastAsia="宋体" w:cs="宋体"/>
                <w:szCs w:val="21"/>
              </w:rPr>
              <w:t>（5）系统（平台）使用培训要求：须为学院教师就系统（平台）使用提供免费培训服务。</w:t>
            </w:r>
          </w:p>
        </w:tc>
      </w:tr>
    </w:tbl>
    <w:p w14:paraId="301ECD04">
      <w:pPr>
        <w:keepNext w:val="0"/>
        <w:keepLines w:val="0"/>
        <w:pageBreakBefore w:val="0"/>
        <w:widowControl w:val="0"/>
        <w:kinsoku/>
        <w:wordWrap/>
        <w:overflowPunct/>
        <w:topLinePunct w:val="0"/>
        <w:autoSpaceDE/>
        <w:autoSpaceDN/>
        <w:bidi w:val="0"/>
        <w:adjustRightInd/>
        <w:snapToGrid/>
        <w:spacing w:line="510" w:lineRule="exact"/>
        <w:ind w:firstLine="562" w:firstLineChars="200"/>
        <w:jc w:val="right"/>
        <w:textAlignment w:val="auto"/>
        <w:rPr>
          <w:rFonts w:hint="eastAsia" w:ascii="仿宋" w:hAnsi="仿宋" w:eastAsia="仿宋" w:cs="仿宋"/>
          <w:b/>
          <w:bCs/>
          <w:sz w:val="28"/>
          <w:szCs w:val="28"/>
          <w:lang w:val="en-US" w:eastAsia="zh-CN"/>
        </w:rPr>
      </w:pPr>
    </w:p>
    <w:p w14:paraId="66DCF585">
      <w:pPr>
        <w:keepNext w:val="0"/>
        <w:keepLines w:val="0"/>
        <w:pageBreakBefore w:val="0"/>
        <w:widowControl w:val="0"/>
        <w:kinsoku/>
        <w:wordWrap/>
        <w:overflowPunct/>
        <w:topLinePunct w:val="0"/>
        <w:autoSpaceDE/>
        <w:autoSpaceDN/>
        <w:bidi w:val="0"/>
        <w:adjustRightInd/>
        <w:snapToGrid/>
        <w:spacing w:line="510" w:lineRule="exact"/>
        <w:ind w:firstLine="562" w:firstLineChars="200"/>
        <w:jc w:val="right"/>
        <w:textAlignment w:val="auto"/>
        <w:rPr>
          <w:rFonts w:hint="eastAsia" w:ascii="仿宋" w:hAnsi="仿宋" w:eastAsia="仿宋" w:cs="仿宋"/>
          <w:b/>
          <w:bCs/>
          <w:sz w:val="28"/>
          <w:szCs w:val="28"/>
          <w:lang w:val="en-US" w:eastAsia="zh-CN"/>
        </w:rPr>
      </w:pPr>
    </w:p>
    <w:p w14:paraId="6E9D2EFA">
      <w:pPr>
        <w:keepNext w:val="0"/>
        <w:keepLines w:val="0"/>
        <w:pageBreakBefore w:val="0"/>
        <w:widowControl w:val="0"/>
        <w:kinsoku/>
        <w:wordWrap/>
        <w:overflowPunct/>
        <w:topLinePunct w:val="0"/>
        <w:autoSpaceDE/>
        <w:autoSpaceDN/>
        <w:bidi w:val="0"/>
        <w:adjustRightInd/>
        <w:snapToGrid/>
        <w:spacing w:line="510" w:lineRule="exact"/>
        <w:ind w:firstLine="562" w:firstLineChars="200"/>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湘南幼儿师范高等专科学校</w:t>
      </w:r>
    </w:p>
    <w:p w14:paraId="35C822F0">
      <w:pPr>
        <w:widowControl/>
        <w:spacing w:before="100" w:after="100" w:line="560" w:lineRule="atLeast"/>
        <w:ind w:left="420" w:leftChars="0" w:firstLine="420" w:firstLineChars="0"/>
        <w:jc w:val="center"/>
        <w:rPr>
          <w:rFonts w:hint="eastAsia" w:ascii="宋体" w:hAnsi="宋体" w:eastAsia="宋体" w:cs="宋体"/>
          <w:b/>
          <w:bCs/>
          <w:sz w:val="28"/>
          <w:szCs w:val="28"/>
        </w:rPr>
      </w:pPr>
      <w:r>
        <w:rPr>
          <w:rFonts w:hint="eastAsia" w:ascii="仿宋" w:hAnsi="仿宋" w:eastAsia="仿宋" w:cs="仿宋"/>
          <w:b/>
          <w:bCs/>
          <w:sz w:val="28"/>
          <w:szCs w:val="28"/>
          <w:lang w:val="en-US" w:eastAsia="zh-CN"/>
        </w:rPr>
        <w:t xml:space="preserve">                                 2024年11月05日</w:t>
      </w:r>
    </w:p>
    <w:sectPr>
      <w:footerReference r:id="rId3" w:type="default"/>
      <w:pgSz w:w="11906" w:h="16838"/>
      <w:pgMar w:top="1474"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998B">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B6C73">
                          <w:pPr>
                            <w:pStyle w:val="7"/>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A3B6C73">
                    <w:pPr>
                      <w:pStyle w:val="7"/>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85548"/>
    <w:multiLevelType w:val="multilevel"/>
    <w:tmpl w:val="02C85548"/>
    <w:lvl w:ilvl="0" w:tentative="0">
      <w:start w:val="1"/>
      <w:numFmt w:val="decimal"/>
      <w:lvlText w:val="%1."/>
      <w:lvlJc w:val="left"/>
      <w:pPr>
        <w:ind w:left="216" w:hanging="21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3E06716"/>
    <w:multiLevelType w:val="multilevel"/>
    <w:tmpl w:val="03E06716"/>
    <w:lvl w:ilvl="0" w:tentative="0">
      <w:start w:val="1"/>
      <w:numFmt w:val="decimal"/>
      <w:pStyle w:val="2"/>
      <w:lvlText w:val="第%1章"/>
      <w:lvlJc w:val="left"/>
      <w:pPr>
        <w:tabs>
          <w:tab w:val="left" w:pos="454"/>
        </w:tabs>
        <w:ind w:left="480" w:firstLine="0"/>
      </w:pPr>
      <w:rPr>
        <w:rFonts w:hint="eastAsia" w:ascii="黑体" w:hAnsi="Times New Roman" w:eastAsia="黑体"/>
        <w:b/>
        <w:i w:val="0"/>
        <w:iCs w:val="0"/>
        <w:caps w:val="0"/>
        <w:smallCaps w:val="0"/>
        <w:strike w:val="0"/>
        <w:dstrike w:val="0"/>
        <w:vanish w:val="0"/>
        <w:spacing w:val="0"/>
        <w:position w:val="0"/>
        <w:sz w:val="44"/>
        <w:szCs w:val="44"/>
        <w:u w:val="none"/>
        <w:vertAlign w:val="baseline"/>
      </w:rPr>
    </w:lvl>
    <w:lvl w:ilvl="1" w:tentative="0">
      <w:start w:val="1"/>
      <w:numFmt w:val="decimal"/>
      <w:pStyle w:val="3"/>
      <w:lvlText w:val="%1.%2"/>
      <w:lvlJc w:val="left"/>
      <w:pPr>
        <w:tabs>
          <w:tab w:val="left" w:pos="454"/>
        </w:tabs>
        <w:ind w:left="0" w:firstLine="0"/>
      </w:pPr>
      <w:rPr>
        <w:rFonts w:hint="eastAsia"/>
        <w:b/>
        <w:i w:val="0"/>
        <w:sz w:val="32"/>
        <w:szCs w:val="32"/>
      </w:rPr>
    </w:lvl>
    <w:lvl w:ilvl="2" w:tentative="0">
      <w:start w:val="1"/>
      <w:numFmt w:val="decimal"/>
      <w:pStyle w:val="4"/>
      <w:lvlText w:val="%1.%2.%3"/>
      <w:lvlJc w:val="left"/>
      <w:pPr>
        <w:tabs>
          <w:tab w:val="left" w:pos="454"/>
        </w:tabs>
        <w:ind w:left="0" w:firstLine="0"/>
      </w:pPr>
      <w:rPr>
        <w:rFonts w:hint="eastAsia"/>
        <w:b/>
        <w:i w:val="0"/>
        <w:sz w:val="32"/>
        <w:szCs w:val="32"/>
      </w:rPr>
    </w:lvl>
    <w:lvl w:ilvl="3" w:tentative="0">
      <w:start w:val="1"/>
      <w:numFmt w:val="decimal"/>
      <w:lvlText w:val="%1.%2.%3.%4"/>
      <w:lvlJc w:val="left"/>
      <w:pPr>
        <w:tabs>
          <w:tab w:val="left" w:pos="454"/>
        </w:tabs>
        <w:ind w:left="0" w:firstLine="0"/>
      </w:pPr>
      <w:rPr>
        <w:rFonts w:hint="eastAsia" w:ascii="Times New Roman" w:hAnsi="Times New Roman" w:cs="Times New Roman"/>
        <w:i w:val="0"/>
        <w:iCs w:val="0"/>
        <w:caps w:val="0"/>
        <w:smallCaps w:val="0"/>
        <w:strike w:val="0"/>
        <w:dstrike w:val="0"/>
        <w:vanish w:val="0"/>
        <w:spacing w:val="0"/>
        <w:position w:val="0"/>
        <w:u w:val="none"/>
        <w:vertAlign w:val="baseline"/>
      </w:rPr>
    </w:lvl>
    <w:lvl w:ilvl="4" w:tentative="0">
      <w:start w:val="1"/>
      <w:numFmt w:val="decimal"/>
      <w:lvlText w:val="%2.%3.%4.%5"/>
      <w:lvlJc w:val="left"/>
      <w:pPr>
        <w:tabs>
          <w:tab w:val="left" w:pos="454"/>
        </w:tabs>
        <w:ind w:left="0" w:firstLine="0"/>
      </w:pPr>
      <w:rPr>
        <w:rFonts w:hint="eastAsia" w:ascii="Arial" w:hAnsi="Arial" w:eastAsia="宋体"/>
        <w:b/>
        <w:bCs/>
        <w:i w:val="0"/>
        <w:iCs w:val="0"/>
        <w:caps w:val="0"/>
        <w:smallCaps w:val="0"/>
        <w:strike w:val="0"/>
        <w:dstrike w:val="0"/>
        <w:color w:val="000000"/>
        <w:spacing w:val="0"/>
        <w:w w:val="100"/>
        <w:kern w:val="2"/>
        <w:position w:val="0"/>
        <w:sz w:val="28"/>
        <w:szCs w:val="24"/>
        <w:u w:val="none"/>
      </w:rPr>
    </w:lvl>
    <w:lvl w:ilvl="5" w:tentative="0">
      <w:start w:val="1"/>
      <w:numFmt w:val="decimal"/>
      <w:lvlText w:val="%2.%3.%4.%5.%6"/>
      <w:lvlJc w:val="left"/>
      <w:pPr>
        <w:tabs>
          <w:tab w:val="left" w:pos="454"/>
        </w:tabs>
        <w:ind w:left="0" w:firstLine="0"/>
      </w:pPr>
      <w:rPr>
        <w:rFonts w:hint="eastAsia"/>
      </w:rPr>
    </w:lvl>
    <w:lvl w:ilvl="6" w:tentative="0">
      <w:start w:val="1"/>
      <w:numFmt w:val="decimal"/>
      <w:lvlText w:val="%2.%3.%4.%5.%6.%7"/>
      <w:lvlJc w:val="left"/>
      <w:pPr>
        <w:tabs>
          <w:tab w:val="left" w:pos="454"/>
        </w:tabs>
        <w:ind w:left="0" w:firstLine="0"/>
      </w:pPr>
      <w:rPr>
        <w:rFonts w:hint="eastAsia"/>
      </w:rPr>
    </w:lvl>
    <w:lvl w:ilvl="7" w:tentative="0">
      <w:start w:val="1"/>
      <w:numFmt w:val="decimal"/>
      <w:lvlText w:val="%2.%3.%4.%5.%6.%7.%8"/>
      <w:lvlJc w:val="left"/>
      <w:pPr>
        <w:tabs>
          <w:tab w:val="left" w:pos="3480"/>
        </w:tabs>
        <w:ind w:left="1680" w:firstLine="0"/>
      </w:pPr>
      <w:rPr>
        <w:rFonts w:hint="eastAsia"/>
      </w:rPr>
    </w:lvl>
    <w:lvl w:ilvl="8" w:tentative="0">
      <w:start w:val="1"/>
      <w:numFmt w:val="decimal"/>
      <w:lvlText w:val="%2.%3.%4.%5.%6.%7.%8.%9"/>
      <w:lvlJc w:val="left"/>
      <w:pPr>
        <w:tabs>
          <w:tab w:val="left" w:pos="3840"/>
        </w:tabs>
        <w:ind w:left="1680" w:firstLine="0"/>
      </w:pPr>
      <w:rPr>
        <w:rFonts w:hint="eastAsia"/>
      </w:rPr>
    </w:lvl>
  </w:abstractNum>
  <w:abstractNum w:abstractNumId="2">
    <w:nsid w:val="1A6C65D9"/>
    <w:multiLevelType w:val="multilevel"/>
    <w:tmpl w:val="1A6C65D9"/>
    <w:lvl w:ilvl="0" w:tentative="0">
      <w:start w:val="1"/>
      <w:numFmt w:val="decimal"/>
      <w:lvlText w:val="%1."/>
      <w:lvlJc w:val="left"/>
      <w:pPr>
        <w:ind w:left="216" w:hanging="21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DB47DF0"/>
    <w:multiLevelType w:val="multilevel"/>
    <w:tmpl w:val="2DB47DF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WFiNTc2MjNjY2U5ZGJiMmJkYzUyMTFiNGMwNDkifQ=="/>
  </w:docVars>
  <w:rsids>
    <w:rsidRoot w:val="0069729A"/>
    <w:rsid w:val="000015F6"/>
    <w:rsid w:val="00002155"/>
    <w:rsid w:val="00004886"/>
    <w:rsid w:val="00041E00"/>
    <w:rsid w:val="00064B51"/>
    <w:rsid w:val="00090042"/>
    <w:rsid w:val="000D2CE6"/>
    <w:rsid w:val="000D38F5"/>
    <w:rsid w:val="000E433B"/>
    <w:rsid w:val="00125350"/>
    <w:rsid w:val="00163112"/>
    <w:rsid w:val="00163186"/>
    <w:rsid w:val="001A5823"/>
    <w:rsid w:val="001B45EC"/>
    <w:rsid w:val="001D4A6C"/>
    <w:rsid w:val="00206B34"/>
    <w:rsid w:val="00231079"/>
    <w:rsid w:val="00256CC0"/>
    <w:rsid w:val="002B1457"/>
    <w:rsid w:val="002C4A04"/>
    <w:rsid w:val="002F5362"/>
    <w:rsid w:val="003050A9"/>
    <w:rsid w:val="0031531C"/>
    <w:rsid w:val="00320969"/>
    <w:rsid w:val="00331B8C"/>
    <w:rsid w:val="00341AAB"/>
    <w:rsid w:val="0036693C"/>
    <w:rsid w:val="00395F1B"/>
    <w:rsid w:val="003F42F0"/>
    <w:rsid w:val="00412B70"/>
    <w:rsid w:val="00420FD0"/>
    <w:rsid w:val="004905CA"/>
    <w:rsid w:val="004B0A06"/>
    <w:rsid w:val="004D1826"/>
    <w:rsid w:val="004E7136"/>
    <w:rsid w:val="004F6935"/>
    <w:rsid w:val="0050163B"/>
    <w:rsid w:val="00547E37"/>
    <w:rsid w:val="0055101B"/>
    <w:rsid w:val="00553E28"/>
    <w:rsid w:val="00561704"/>
    <w:rsid w:val="005774D6"/>
    <w:rsid w:val="005B3426"/>
    <w:rsid w:val="005C14AA"/>
    <w:rsid w:val="005E27DA"/>
    <w:rsid w:val="005E45DC"/>
    <w:rsid w:val="0061559F"/>
    <w:rsid w:val="006310E5"/>
    <w:rsid w:val="006413F8"/>
    <w:rsid w:val="00662386"/>
    <w:rsid w:val="0067159E"/>
    <w:rsid w:val="006809C6"/>
    <w:rsid w:val="00683B38"/>
    <w:rsid w:val="00690A39"/>
    <w:rsid w:val="0069729A"/>
    <w:rsid w:val="006A07E9"/>
    <w:rsid w:val="006E5275"/>
    <w:rsid w:val="00713ACC"/>
    <w:rsid w:val="00716B49"/>
    <w:rsid w:val="00717DFE"/>
    <w:rsid w:val="00732C22"/>
    <w:rsid w:val="0075256F"/>
    <w:rsid w:val="00757D4F"/>
    <w:rsid w:val="00772245"/>
    <w:rsid w:val="00772D4A"/>
    <w:rsid w:val="00790E96"/>
    <w:rsid w:val="0079284E"/>
    <w:rsid w:val="007A703E"/>
    <w:rsid w:val="007A71C8"/>
    <w:rsid w:val="007B1B73"/>
    <w:rsid w:val="007E3305"/>
    <w:rsid w:val="007F76CF"/>
    <w:rsid w:val="008013A9"/>
    <w:rsid w:val="00824B08"/>
    <w:rsid w:val="0083404C"/>
    <w:rsid w:val="00840F50"/>
    <w:rsid w:val="00846793"/>
    <w:rsid w:val="00847A0B"/>
    <w:rsid w:val="008761B1"/>
    <w:rsid w:val="008859FA"/>
    <w:rsid w:val="008A62C4"/>
    <w:rsid w:val="008B4B90"/>
    <w:rsid w:val="008C7477"/>
    <w:rsid w:val="008D3E04"/>
    <w:rsid w:val="008F4906"/>
    <w:rsid w:val="00903AA6"/>
    <w:rsid w:val="00905B43"/>
    <w:rsid w:val="00907C5B"/>
    <w:rsid w:val="0093361B"/>
    <w:rsid w:val="00941EC1"/>
    <w:rsid w:val="00942FCC"/>
    <w:rsid w:val="009564CD"/>
    <w:rsid w:val="009640DD"/>
    <w:rsid w:val="0096628A"/>
    <w:rsid w:val="0097045F"/>
    <w:rsid w:val="00973D85"/>
    <w:rsid w:val="009748FE"/>
    <w:rsid w:val="00987A5B"/>
    <w:rsid w:val="009D2B70"/>
    <w:rsid w:val="00A052DF"/>
    <w:rsid w:val="00A14DBF"/>
    <w:rsid w:val="00A319C1"/>
    <w:rsid w:val="00A530CA"/>
    <w:rsid w:val="00A66529"/>
    <w:rsid w:val="00A72514"/>
    <w:rsid w:val="00A75231"/>
    <w:rsid w:val="00A84215"/>
    <w:rsid w:val="00A86F1E"/>
    <w:rsid w:val="00AB23B9"/>
    <w:rsid w:val="00AB58B8"/>
    <w:rsid w:val="00AF071E"/>
    <w:rsid w:val="00B124F9"/>
    <w:rsid w:val="00B37A4A"/>
    <w:rsid w:val="00B44ACE"/>
    <w:rsid w:val="00B478F0"/>
    <w:rsid w:val="00B607EC"/>
    <w:rsid w:val="00B66DB3"/>
    <w:rsid w:val="00B73988"/>
    <w:rsid w:val="00B7508B"/>
    <w:rsid w:val="00B85984"/>
    <w:rsid w:val="00B97549"/>
    <w:rsid w:val="00BD1B62"/>
    <w:rsid w:val="00C05E3D"/>
    <w:rsid w:val="00C10C3F"/>
    <w:rsid w:val="00C2107D"/>
    <w:rsid w:val="00C57280"/>
    <w:rsid w:val="00CA39E8"/>
    <w:rsid w:val="00CD1603"/>
    <w:rsid w:val="00CD4CEA"/>
    <w:rsid w:val="00D14AE1"/>
    <w:rsid w:val="00D175CB"/>
    <w:rsid w:val="00D2399F"/>
    <w:rsid w:val="00D56BC9"/>
    <w:rsid w:val="00D65BBF"/>
    <w:rsid w:val="00D71DE5"/>
    <w:rsid w:val="00D75EB9"/>
    <w:rsid w:val="00D96D14"/>
    <w:rsid w:val="00DD4BC6"/>
    <w:rsid w:val="00DE5DC5"/>
    <w:rsid w:val="00DF1AB4"/>
    <w:rsid w:val="00E051C4"/>
    <w:rsid w:val="00E17CF9"/>
    <w:rsid w:val="00E44D2E"/>
    <w:rsid w:val="00E62B18"/>
    <w:rsid w:val="00E74BCC"/>
    <w:rsid w:val="00E9657E"/>
    <w:rsid w:val="00ED54B3"/>
    <w:rsid w:val="00EE31D9"/>
    <w:rsid w:val="00EF3DD9"/>
    <w:rsid w:val="00EF6841"/>
    <w:rsid w:val="00EF7F79"/>
    <w:rsid w:val="00F20E2F"/>
    <w:rsid w:val="00F62175"/>
    <w:rsid w:val="00F7088E"/>
    <w:rsid w:val="00F77BB0"/>
    <w:rsid w:val="00F8373D"/>
    <w:rsid w:val="00FA3720"/>
    <w:rsid w:val="00FC12C6"/>
    <w:rsid w:val="00FD28F4"/>
    <w:rsid w:val="00FD4055"/>
    <w:rsid w:val="01014501"/>
    <w:rsid w:val="04C41DA3"/>
    <w:rsid w:val="07F4715A"/>
    <w:rsid w:val="0A100BF4"/>
    <w:rsid w:val="0B1D17F8"/>
    <w:rsid w:val="0E8C2C83"/>
    <w:rsid w:val="0FB5679A"/>
    <w:rsid w:val="124E3756"/>
    <w:rsid w:val="160C7E2E"/>
    <w:rsid w:val="17E07B9B"/>
    <w:rsid w:val="18D364D0"/>
    <w:rsid w:val="19573E8D"/>
    <w:rsid w:val="1FE54409"/>
    <w:rsid w:val="212357AF"/>
    <w:rsid w:val="2393586E"/>
    <w:rsid w:val="23CE08D7"/>
    <w:rsid w:val="25061A91"/>
    <w:rsid w:val="280B292F"/>
    <w:rsid w:val="29C56BF1"/>
    <w:rsid w:val="2BB6420A"/>
    <w:rsid w:val="2E397B23"/>
    <w:rsid w:val="2E4F554B"/>
    <w:rsid w:val="2FA3643B"/>
    <w:rsid w:val="30747095"/>
    <w:rsid w:val="324F316E"/>
    <w:rsid w:val="333D3C9C"/>
    <w:rsid w:val="37562C26"/>
    <w:rsid w:val="384A2609"/>
    <w:rsid w:val="3D2E7ACC"/>
    <w:rsid w:val="3DBB4F53"/>
    <w:rsid w:val="3E462F9A"/>
    <w:rsid w:val="3F09714C"/>
    <w:rsid w:val="428727A0"/>
    <w:rsid w:val="45995474"/>
    <w:rsid w:val="46472768"/>
    <w:rsid w:val="489B3D44"/>
    <w:rsid w:val="496D0EFF"/>
    <w:rsid w:val="4C0B0C49"/>
    <w:rsid w:val="4D151BC8"/>
    <w:rsid w:val="4F1A33B7"/>
    <w:rsid w:val="50151B0A"/>
    <w:rsid w:val="513E615D"/>
    <w:rsid w:val="53942DBB"/>
    <w:rsid w:val="549D6130"/>
    <w:rsid w:val="56470E62"/>
    <w:rsid w:val="58D70BEE"/>
    <w:rsid w:val="59AA0910"/>
    <w:rsid w:val="5E0C27AA"/>
    <w:rsid w:val="641340E8"/>
    <w:rsid w:val="64241A1D"/>
    <w:rsid w:val="68982962"/>
    <w:rsid w:val="68C6780C"/>
    <w:rsid w:val="695903D6"/>
    <w:rsid w:val="6D126BFB"/>
    <w:rsid w:val="72EA18EB"/>
    <w:rsid w:val="74CE7B18"/>
    <w:rsid w:val="75450625"/>
    <w:rsid w:val="77B73D80"/>
    <w:rsid w:val="78497D79"/>
    <w:rsid w:val="7A2605B3"/>
    <w:rsid w:val="7CC542DD"/>
    <w:rsid w:val="7F1B7562"/>
    <w:rsid w:val="7F491226"/>
    <w:rsid w:val="7F936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7C7070"/>
      <w:u w:val="none"/>
    </w:rPr>
  </w:style>
  <w:style w:type="character" w:styleId="14">
    <w:name w:val="Hyperlink"/>
    <w:basedOn w:val="12"/>
    <w:semiHidden/>
    <w:unhideWhenUsed/>
    <w:qFormat/>
    <w:uiPriority w:val="99"/>
    <w:rPr>
      <w:color w:val="7C7070"/>
      <w:u w:val="none"/>
    </w:rPr>
  </w:style>
  <w:style w:type="paragraph" w:customStyle="1" w:styleId="15">
    <w:name w:val="列出段落1"/>
    <w:basedOn w:val="1"/>
    <w:qFormat/>
    <w:uiPriority w:val="0"/>
    <w:pPr>
      <w:ind w:firstLine="420" w:firstLineChars="200"/>
    </w:p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paragraph" w:styleId="17">
    <w:name w:val="List Paragraph"/>
    <w:basedOn w:val="1"/>
    <w:qFormat/>
    <w:uiPriority w:val="34"/>
    <w:pPr>
      <w:ind w:firstLine="420" w:firstLineChars="200"/>
    </w:p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font41"/>
    <w:basedOn w:val="12"/>
    <w:qFormat/>
    <w:uiPriority w:val="0"/>
    <w:rPr>
      <w:rFonts w:hint="eastAsia" w:ascii="宋体" w:hAnsi="宋体" w:eastAsia="宋体" w:cs="宋体"/>
      <w:color w:val="000000"/>
      <w:sz w:val="20"/>
      <w:szCs w:val="20"/>
      <w:u w:val="none"/>
    </w:rPr>
  </w:style>
  <w:style w:type="paragraph" w:customStyle="1" w:styleId="21">
    <w:name w:val="HL正文样式"/>
    <w:basedOn w:val="1"/>
    <w:qFormat/>
    <w:uiPriority w:val="0"/>
    <w:pPr>
      <w:spacing w:line="360" w:lineRule="auto"/>
      <w:ind w:firstLine="200" w:firstLineChars="200"/>
    </w:pPr>
    <w:rPr>
      <w:rFonts w:ascii="Arial" w:hAnsi="Arial" w:eastAsia="宋体" w:cs="Times New Roman"/>
      <w:sz w:val="24"/>
    </w:rPr>
  </w:style>
  <w:style w:type="character" w:customStyle="1" w:styleId="22">
    <w:name w:val="标题 2 字符"/>
    <w:basedOn w:val="12"/>
    <w:link w:val="3"/>
    <w:qFormat/>
    <w:uiPriority w:val="0"/>
    <w:rPr>
      <w:rFonts w:ascii="Arial" w:hAnsi="Arial" w:eastAsia="黑体" w:cs="Times New Roman"/>
      <w:b/>
      <w:bCs/>
      <w:sz w:val="32"/>
      <w:szCs w:val="32"/>
    </w:rPr>
  </w:style>
  <w:style w:type="character" w:customStyle="1" w:styleId="23">
    <w:name w:val="标题 3 字符"/>
    <w:basedOn w:val="12"/>
    <w:link w:val="4"/>
    <w:qFormat/>
    <w:uiPriority w:val="0"/>
    <w:rPr>
      <w:rFonts w:ascii="Times New Roman" w:hAnsi="Times New Roman" w:eastAsia="宋体" w:cs="Times New Roman"/>
      <w:b/>
      <w:bCs/>
      <w:sz w:val="32"/>
      <w:szCs w:val="32"/>
    </w:rPr>
  </w:style>
  <w:style w:type="character" w:customStyle="1" w:styleId="24">
    <w:name w:val="日期 字符"/>
    <w:basedOn w:val="12"/>
    <w:link w:val="5"/>
    <w:semiHidden/>
    <w:qFormat/>
    <w:uiPriority w:val="99"/>
  </w:style>
  <w:style w:type="character" w:customStyle="1" w:styleId="25">
    <w:name w:val="批注框文本 字符"/>
    <w:basedOn w:val="12"/>
    <w:link w:val="6"/>
    <w:semiHidden/>
    <w:qFormat/>
    <w:uiPriority w:val="99"/>
    <w:rPr>
      <w:sz w:val="18"/>
      <w:szCs w:val="18"/>
    </w:rPr>
  </w:style>
  <w:style w:type="character" w:customStyle="1" w:styleId="26">
    <w:name w:val="not([class*=suffix])"/>
    <w:basedOn w:val="12"/>
    <w:qFormat/>
    <w:uiPriority w:val="0"/>
  </w:style>
  <w:style w:type="character" w:customStyle="1" w:styleId="27">
    <w:name w:val="not([class*=suffix])1"/>
    <w:basedOn w:val="12"/>
    <w:qFormat/>
    <w:uiPriority w:val="0"/>
    <w:rPr>
      <w:sz w:val="19"/>
      <w:szCs w:val="19"/>
    </w:rPr>
  </w:style>
  <w:style w:type="character" w:customStyle="1" w:styleId="28">
    <w:name w:val="bookmark-item"/>
    <w:basedOn w:val="12"/>
    <w:qFormat/>
    <w:uiPriority w:val="0"/>
  </w:style>
  <w:style w:type="paragraph" w:customStyle="1" w:styleId="29">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6306</Words>
  <Characters>6398</Characters>
  <Lines>54</Lines>
  <Paragraphs>15</Paragraphs>
  <TotalTime>1</TotalTime>
  <ScaleCrop>false</ScaleCrop>
  <LinksUpToDate>false</LinksUpToDate>
  <CharactersWithSpaces>6418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2022-07-18T01:28:00Z</dcterms:created>
  <dc:creator>hong</dc:creator>
  <cp:lastModifiedBy>Administrator</cp:lastModifiedBy>
  <cp:lastPrinted>2024-12-02T07:19:00Z</cp:lastPrinted>
  <dcterms:modified xsi:type="dcterms:W3CDTF">2024-12-02T07:42:46Z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9D8F053F99064E379BF2812683F45620_13</vt:lpwstr>
  </property>
</Properties>
</file>